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1D479C">
      <w:pPr>
        <w:spacing w:line="540" w:lineRule="exact"/>
        <w:jc w:val="center"/>
        <w:rPr>
          <w:rFonts w:hint="default" w:ascii="Times New Roman" w:hAnsi="Times New Roman" w:eastAsia="华文中宋" w:cs="Times New Roman"/>
          <w:b/>
          <w:kern w:val="0"/>
          <w:sz w:val="52"/>
          <w:szCs w:val="52"/>
        </w:rPr>
      </w:pPr>
    </w:p>
    <w:p w14:paraId="7CF53B10">
      <w:pPr>
        <w:spacing w:line="540" w:lineRule="exact"/>
        <w:rPr>
          <w:rFonts w:hint="default" w:ascii="Times New Roman" w:hAnsi="Times New Roman" w:eastAsia="华文中宋" w:cs="Times New Roman"/>
          <w:b/>
          <w:kern w:val="0"/>
          <w:sz w:val="52"/>
          <w:szCs w:val="52"/>
        </w:rPr>
      </w:pPr>
    </w:p>
    <w:p w14:paraId="7465461C">
      <w:pPr>
        <w:spacing w:line="540" w:lineRule="exact"/>
        <w:jc w:val="center"/>
        <w:rPr>
          <w:rFonts w:hint="default" w:ascii="Times New Roman" w:hAnsi="Times New Roman" w:eastAsia="华文中宋" w:cs="Times New Roman"/>
          <w:b/>
          <w:kern w:val="0"/>
          <w:sz w:val="52"/>
          <w:szCs w:val="52"/>
        </w:rPr>
      </w:pPr>
    </w:p>
    <w:p w14:paraId="47204D13">
      <w:pPr>
        <w:spacing w:line="540" w:lineRule="exact"/>
        <w:jc w:val="center"/>
        <w:rPr>
          <w:rFonts w:hint="default" w:ascii="Times New Roman" w:hAnsi="Times New Roman" w:eastAsia="华文中宋" w:cs="Times New Roman"/>
          <w:b/>
          <w:kern w:val="0"/>
          <w:sz w:val="52"/>
          <w:szCs w:val="52"/>
        </w:rPr>
      </w:pPr>
    </w:p>
    <w:p w14:paraId="5E11D5A7">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 xml:space="preserve"> 2023年本级追加，达党财纪字〔2023〕1号，追加党校公共服务建设</w:t>
      </w:r>
      <w:r>
        <w:rPr>
          <w:rFonts w:hint="eastAsia" w:eastAsia="方正小标宋_GBK" w:cs="Times New Roman"/>
          <w:kern w:val="0"/>
          <w:sz w:val="48"/>
          <w:szCs w:val="48"/>
          <w:lang w:val="en-US" w:eastAsia="zh-CN"/>
        </w:rPr>
        <w:t>项目</w:t>
      </w:r>
      <w:r>
        <w:rPr>
          <w:rFonts w:hint="default" w:ascii="Times New Roman" w:hAnsi="Times New Roman" w:eastAsia="方正小标宋_GBK" w:cs="Times New Roman"/>
          <w:kern w:val="0"/>
          <w:sz w:val="48"/>
          <w:szCs w:val="48"/>
        </w:rPr>
        <w:t>绩效评价</w:t>
      </w:r>
    </w:p>
    <w:p w14:paraId="2A66E519">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报告</w:t>
      </w:r>
    </w:p>
    <w:p w14:paraId="3435F33D">
      <w:pPr>
        <w:spacing w:line="540" w:lineRule="exact"/>
        <w:jc w:val="center"/>
        <w:rPr>
          <w:rFonts w:hint="default" w:ascii="Times New Roman" w:hAnsi="Times New Roman" w:eastAsia="华文中宋" w:cs="Times New Roman"/>
          <w:b/>
          <w:kern w:val="0"/>
          <w:sz w:val="52"/>
          <w:szCs w:val="52"/>
        </w:rPr>
      </w:pPr>
    </w:p>
    <w:p w14:paraId="170420D8">
      <w:pPr>
        <w:spacing w:line="540" w:lineRule="exact"/>
        <w:jc w:val="center"/>
        <w:rPr>
          <w:rFonts w:hint="default" w:ascii="Times New Roman" w:hAnsi="Times New Roman" w:eastAsia="华文中宋" w:cs="Times New Roman"/>
          <w:b/>
          <w:kern w:val="0"/>
          <w:sz w:val="52"/>
          <w:szCs w:val="52"/>
        </w:rPr>
      </w:pPr>
    </w:p>
    <w:p w14:paraId="629902B6">
      <w:pPr>
        <w:spacing w:line="540" w:lineRule="exact"/>
        <w:jc w:val="center"/>
        <w:rPr>
          <w:rFonts w:hint="default" w:ascii="Times New Roman" w:hAnsi="Times New Roman" w:eastAsia="华文中宋" w:cs="Times New Roman"/>
          <w:b/>
          <w:kern w:val="0"/>
          <w:sz w:val="52"/>
          <w:szCs w:val="52"/>
        </w:rPr>
      </w:pPr>
    </w:p>
    <w:p w14:paraId="2C28A452">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14:paraId="1BF12FF7">
      <w:pPr>
        <w:spacing w:line="540" w:lineRule="exact"/>
        <w:jc w:val="center"/>
        <w:rPr>
          <w:rFonts w:hint="default" w:ascii="Times New Roman" w:hAnsi="Times New Roman" w:eastAsia="仿宋_GB2312" w:cs="Times New Roman"/>
          <w:kern w:val="0"/>
          <w:sz w:val="30"/>
          <w:szCs w:val="30"/>
        </w:rPr>
      </w:pPr>
    </w:p>
    <w:p w14:paraId="24846776">
      <w:pPr>
        <w:spacing w:line="540" w:lineRule="exact"/>
        <w:jc w:val="center"/>
        <w:rPr>
          <w:rFonts w:hint="default" w:ascii="Times New Roman" w:hAnsi="Times New Roman" w:eastAsia="仿宋_GB2312" w:cs="Times New Roman"/>
          <w:kern w:val="0"/>
          <w:sz w:val="30"/>
          <w:szCs w:val="30"/>
        </w:rPr>
      </w:pPr>
    </w:p>
    <w:p w14:paraId="141D8E8F">
      <w:pPr>
        <w:pStyle w:val="10"/>
        <w:jc w:val="both"/>
        <w:rPr>
          <w:rFonts w:hint="default" w:ascii="Times New Roman" w:hAnsi="Times New Roman" w:cs="Times New Roman"/>
        </w:rPr>
      </w:pPr>
    </w:p>
    <w:p w14:paraId="02360C14">
      <w:pPr>
        <w:spacing w:line="540" w:lineRule="exact"/>
        <w:jc w:val="center"/>
        <w:rPr>
          <w:rFonts w:hint="default" w:ascii="Times New Roman" w:hAnsi="Times New Roman" w:eastAsia="仿宋_GB2312" w:cs="Times New Roman"/>
          <w:kern w:val="0"/>
          <w:sz w:val="30"/>
          <w:szCs w:val="30"/>
        </w:rPr>
      </w:pPr>
    </w:p>
    <w:p w14:paraId="13AA2476">
      <w:pPr>
        <w:spacing w:line="540" w:lineRule="exact"/>
        <w:rPr>
          <w:rFonts w:hint="default" w:ascii="Times New Roman" w:hAnsi="Times New Roman" w:eastAsia="仿宋_GB2312" w:cs="Times New Roman"/>
          <w:kern w:val="0"/>
          <w:sz w:val="30"/>
          <w:szCs w:val="30"/>
        </w:rPr>
      </w:pPr>
    </w:p>
    <w:p w14:paraId="3A43A10E">
      <w:pPr>
        <w:spacing w:line="700" w:lineRule="exact"/>
        <w:ind w:firstLine="1440" w:firstLineChars="400"/>
        <w:jc w:val="left"/>
        <w:rPr>
          <w:rFonts w:hint="eastAsia"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项目名称：2023年本级追加，达党财纪字〔2023〕</w:t>
      </w:r>
      <w:r>
        <w:rPr>
          <w:rFonts w:hint="eastAsia" w:ascii="Times New Roman" w:hAnsi="Times New Roman" w:eastAsia="仿宋_GB2312" w:cs="Times New Roman"/>
          <w:kern w:val="0"/>
          <w:sz w:val="36"/>
          <w:szCs w:val="36"/>
          <w:lang w:val="en-US" w:eastAsia="zh-CN"/>
        </w:rPr>
        <w:t>1</w:t>
      </w:r>
      <w:r>
        <w:rPr>
          <w:rFonts w:hint="default" w:ascii="Times New Roman" w:hAnsi="Times New Roman" w:eastAsia="仿宋_GB2312" w:cs="Times New Roman"/>
          <w:kern w:val="0"/>
          <w:sz w:val="36"/>
          <w:szCs w:val="36"/>
        </w:rPr>
        <w:t>号，追加党校</w:t>
      </w:r>
      <w:r>
        <w:rPr>
          <w:rFonts w:hint="eastAsia" w:ascii="Times New Roman" w:hAnsi="Times New Roman" w:eastAsia="仿宋_GB2312" w:cs="Times New Roman"/>
          <w:kern w:val="0"/>
          <w:sz w:val="36"/>
          <w:szCs w:val="36"/>
          <w:lang w:val="en-US" w:eastAsia="zh-CN"/>
        </w:rPr>
        <w:t>公共服务建设项目</w:t>
      </w:r>
    </w:p>
    <w:p w14:paraId="411F90CF">
      <w:pPr>
        <w:spacing w:line="700" w:lineRule="exact"/>
        <w:ind w:firstLine="1440" w:firstLineChars="400"/>
        <w:jc w:val="left"/>
        <w:rPr>
          <w:rFonts w:hint="eastAsia"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实施单位（公章）：</w:t>
      </w:r>
      <w:r>
        <w:rPr>
          <w:rFonts w:hint="eastAsia" w:ascii="Times New Roman" w:hAnsi="Times New Roman" w:eastAsia="仿宋_GB2312" w:cs="Times New Roman"/>
          <w:kern w:val="0"/>
          <w:sz w:val="36"/>
          <w:szCs w:val="36"/>
          <w:lang w:val="en-US" w:eastAsia="zh-CN"/>
        </w:rPr>
        <w:t>达坂城区委党校</w:t>
      </w:r>
    </w:p>
    <w:p w14:paraId="223577FC">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主管部门（公章）：</w:t>
      </w:r>
      <w:r>
        <w:rPr>
          <w:rFonts w:hint="eastAsia" w:ascii="Times New Roman" w:hAnsi="Times New Roman" w:eastAsia="仿宋_GB2312" w:cs="Times New Roman"/>
          <w:kern w:val="0"/>
          <w:sz w:val="36"/>
          <w:szCs w:val="36"/>
          <w:lang w:val="en-US" w:eastAsia="zh-CN"/>
        </w:rPr>
        <w:t>达坂城区委党校</w:t>
      </w:r>
    </w:p>
    <w:p w14:paraId="77173329">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项目负责人（签章）：</w:t>
      </w:r>
      <w:r>
        <w:rPr>
          <w:rFonts w:hint="eastAsia" w:ascii="Times New Roman" w:hAnsi="Times New Roman" w:eastAsia="仿宋_GB2312" w:cs="Times New Roman"/>
          <w:kern w:val="0"/>
          <w:sz w:val="36"/>
          <w:szCs w:val="36"/>
          <w:lang w:val="en-US" w:eastAsia="zh-CN"/>
        </w:rPr>
        <w:t>满银锁</w:t>
      </w:r>
    </w:p>
    <w:p w14:paraId="7DC9BDB4">
      <w:pPr>
        <w:spacing w:line="700" w:lineRule="exact"/>
        <w:ind w:firstLine="1440" w:firstLineChars="400"/>
        <w:jc w:val="left"/>
        <w:rPr>
          <w:rStyle w:val="16"/>
          <w:rFonts w:hint="default" w:ascii="Times New Roman" w:hAnsi="Times New Roman" w:eastAsia="黑体" w:cs="Times New Roman"/>
          <w:b w:val="0"/>
          <w:spacing w:val="-4"/>
          <w:sz w:val="32"/>
          <w:szCs w:val="32"/>
        </w:rPr>
      </w:pPr>
      <w:r>
        <w:rPr>
          <w:rFonts w:hint="default" w:ascii="Times New Roman" w:hAnsi="Times New Roman" w:eastAsia="仿宋_GB2312" w:cs="Times New Roman"/>
          <w:kern w:val="0"/>
          <w:sz w:val="36"/>
          <w:szCs w:val="36"/>
        </w:rPr>
        <w:t>填报时间：</w:t>
      </w:r>
      <w:r>
        <w:rPr>
          <w:rFonts w:hint="eastAsia" w:ascii="Times New Roman" w:hAnsi="Times New Roman" w:eastAsia="仿宋_GB2312" w:cs="Times New Roman"/>
          <w:kern w:val="0"/>
          <w:sz w:val="36"/>
          <w:szCs w:val="36"/>
          <w:lang w:val="en-US" w:eastAsia="zh-CN"/>
        </w:rPr>
        <w:t>2025</w:t>
      </w:r>
      <w:r>
        <w:rPr>
          <w:rFonts w:hint="default" w:ascii="Times New Roman" w:hAnsi="Times New Roman" w:eastAsia="仿宋_GB2312" w:cs="Times New Roman"/>
          <w:kern w:val="0"/>
          <w:sz w:val="36"/>
          <w:szCs w:val="36"/>
        </w:rPr>
        <w:t>年</w:t>
      </w:r>
      <w:r>
        <w:rPr>
          <w:rFonts w:hint="eastAsia"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月</w:t>
      </w:r>
      <w:r>
        <w:rPr>
          <w:rFonts w:hint="eastAsia" w:ascii="Times New Roman" w:hAnsi="Times New Roman" w:eastAsia="仿宋_GB2312" w:cs="Times New Roman"/>
          <w:kern w:val="0"/>
          <w:sz w:val="36"/>
          <w:szCs w:val="36"/>
          <w:lang w:val="en-US" w:eastAsia="zh-CN"/>
        </w:rPr>
        <w:t>22</w:t>
      </w:r>
      <w:r>
        <w:rPr>
          <w:rFonts w:hint="default" w:ascii="Times New Roman" w:hAnsi="Times New Roman" w:eastAsia="仿宋_GB2312" w:cs="Times New Roman"/>
          <w:kern w:val="0"/>
          <w:sz w:val="36"/>
          <w:szCs w:val="36"/>
        </w:rPr>
        <w:t>日</w:t>
      </w:r>
    </w:p>
    <w:p w14:paraId="6D6A0AB0">
      <w:pPr>
        <w:spacing w:line="560" w:lineRule="exact"/>
        <w:ind w:firstLine="640" w:firstLineChars="200"/>
        <w:rPr>
          <w:rFonts w:hint="default" w:ascii="Times New Roman" w:hAnsi="Times New Roman" w:eastAsia="黑体" w:cs="Times New Roman"/>
          <w:bCs/>
          <w:sz w:val="32"/>
          <w:szCs w:val="32"/>
        </w:rPr>
      </w:pPr>
    </w:p>
    <w:p w14:paraId="69756A28">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1B940412">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5D721A80">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1865ECCD">
      <w:pPr>
        <w:spacing w:line="360" w:lineRule="auto"/>
        <w:ind w:firstLine="640" w:firstLineChars="200"/>
        <w:rPr>
          <w:rFonts w:hint="default" w:eastAsia="仿宋_GB2312"/>
          <w:sz w:val="32"/>
          <w:szCs w:val="32"/>
          <w:lang w:val="en-US" w:eastAsia="zh-CN"/>
        </w:rPr>
      </w:pPr>
      <w:r>
        <w:rPr>
          <w:rFonts w:hint="eastAsia" w:eastAsia="仿宋_GB2312"/>
          <w:sz w:val="32"/>
          <w:szCs w:val="32"/>
          <w:lang w:eastAsia="zh-CN"/>
        </w:rPr>
        <w:t>2</w:t>
      </w:r>
      <w:r>
        <w:rPr>
          <w:rFonts w:hint="eastAsia" w:ascii="Times New Roman" w:hAnsi="Times New Roman" w:eastAsia="仿宋_GB2312" w:cs="Times New Roman"/>
          <w:b w:val="0"/>
          <w:bCs w:val="0"/>
          <w:kern w:val="2"/>
          <w:sz w:val="30"/>
          <w:szCs w:val="30"/>
          <w:highlight w:val="none"/>
          <w:lang w:val="en-US" w:eastAsia="zh-CN" w:bidi="ar-SA"/>
        </w:rPr>
        <w:t>024年我单位已经按照文制定了绩效工作计划，确保该项工作正常运行。践行“为党育才、为党献策”初心，主要紧扣党校</w:t>
      </w:r>
      <w:r>
        <w:rPr>
          <w:rFonts w:hint="eastAsia" w:eastAsia="仿宋_GB2312" w:cs="Times New Roman"/>
          <w:b w:val="0"/>
          <w:bCs w:val="0"/>
          <w:kern w:val="2"/>
          <w:sz w:val="30"/>
          <w:szCs w:val="30"/>
          <w:highlight w:val="none"/>
          <w:lang w:val="en-US" w:eastAsia="zh-CN" w:bidi="ar-SA"/>
        </w:rPr>
        <w:t>工作。</w:t>
      </w:r>
      <w:r>
        <w:rPr>
          <w:rFonts w:hint="eastAsia" w:eastAsia="仿宋_GB2312"/>
          <w:sz w:val="32"/>
          <w:szCs w:val="32"/>
          <w:lang w:val="en-US" w:eastAsia="zh-CN"/>
        </w:rPr>
        <w:t>主要用于房屋修缮、绿化管道、教学楼、附属楼改造、公共服务项目审计费、对外管网重新复核，水，电、暖、消防设施等升级改造等阶段性任务。</w:t>
      </w:r>
    </w:p>
    <w:p w14:paraId="1BC871C8">
      <w:pPr>
        <w:pStyle w:val="10"/>
        <w:numPr>
          <w:ilvl w:val="0"/>
          <w:numId w:val="0"/>
        </w:numPr>
        <w:spacing w:before="0" w:after="0" w:line="560" w:lineRule="exact"/>
        <w:ind w:firstLine="600" w:firstLineChars="200"/>
        <w:jc w:val="both"/>
        <w:rPr>
          <w:rFonts w:hint="default" w:ascii="Times New Roman" w:hAnsi="Times New Roman" w:eastAsia="仿宋_GB2312" w:cs="Times New Roman"/>
          <w:b w:val="0"/>
          <w:bCs w:val="0"/>
          <w:kern w:val="2"/>
          <w:sz w:val="30"/>
          <w:szCs w:val="30"/>
          <w:highlight w:val="none"/>
          <w:lang w:val="en-US" w:eastAsia="zh-CN" w:bidi="ar-SA"/>
        </w:rPr>
      </w:pPr>
      <w:r>
        <w:rPr>
          <w:rFonts w:hint="default" w:ascii="Times New Roman" w:hAnsi="Times New Roman" w:eastAsia="仿宋_GB2312" w:cs="Times New Roman"/>
          <w:b w:val="0"/>
          <w:bCs w:val="0"/>
          <w:kern w:val="2"/>
          <w:sz w:val="30"/>
          <w:szCs w:val="30"/>
          <w:highlight w:val="none"/>
          <w:lang w:val="en-US" w:eastAsia="zh-CN" w:bidi="ar-SA"/>
        </w:rPr>
        <w:t>2.项目主要内容：</w:t>
      </w:r>
    </w:p>
    <w:p w14:paraId="617F8AE6">
      <w:pPr>
        <w:spacing w:line="360" w:lineRule="auto"/>
        <w:ind w:firstLine="600" w:firstLineChars="200"/>
        <w:rPr>
          <w:rFonts w:hint="default" w:ascii="Times New Roman" w:hAnsi="Times New Roman" w:eastAsia="黑体" w:cs="Times New Roman"/>
          <w:highlight w:val="yellow"/>
          <w:lang w:eastAsia="zh-CN"/>
        </w:rPr>
      </w:pPr>
      <w:r>
        <w:rPr>
          <w:rFonts w:hint="default" w:ascii="Times New Roman" w:hAnsi="Times New Roman" w:eastAsia="仿宋_GB2312" w:cs="Times New Roman"/>
          <w:sz w:val="30"/>
          <w:szCs w:val="30"/>
          <w:highlight w:val="none"/>
          <w:lang w:val="en-US" w:eastAsia="zh-CN"/>
        </w:rPr>
        <w:t>项目主要内容：</w:t>
      </w:r>
      <w:r>
        <w:rPr>
          <w:rFonts w:hint="eastAsia" w:eastAsia="仿宋_GB2312"/>
          <w:sz w:val="32"/>
          <w:szCs w:val="32"/>
          <w:lang w:val="en-US" w:eastAsia="zh-CN"/>
        </w:rPr>
        <w:t>要用于房屋修缮、绿化管道、教学楼、附属楼改造、公共服务项目审计费、对外管网从新复核，水，电、暖、消防设施等升级改造等阶段性任务。</w:t>
      </w:r>
    </w:p>
    <w:p w14:paraId="1F033675">
      <w:pPr>
        <w:spacing w:line="360" w:lineRule="auto"/>
        <w:ind w:firstLine="640" w:firstLineChars="200"/>
        <w:rPr>
          <w:rFonts w:hint="default" w:ascii="Times New Roman" w:hAnsi="Times New Roman" w:cs="Times New Roman"/>
        </w:rPr>
      </w:pPr>
      <w:r>
        <w:rPr>
          <w:rFonts w:hint="default" w:ascii="Times New Roman" w:hAnsi="Times New Roman" w:eastAsia="仿宋_GB2312" w:cs="Times New Roman"/>
          <w:sz w:val="32"/>
          <w:szCs w:val="32"/>
        </w:rPr>
        <w:t>项目实施情况：</w:t>
      </w:r>
      <w:r>
        <w:rPr>
          <w:rFonts w:eastAsia="仿宋_GB2312"/>
          <w:sz w:val="32"/>
          <w:szCs w:val="32"/>
        </w:rPr>
        <w:t>目前项目已经</w:t>
      </w:r>
      <w:r>
        <w:rPr>
          <w:rFonts w:hint="eastAsia" w:eastAsia="仿宋_GB2312"/>
          <w:sz w:val="32"/>
          <w:szCs w:val="32"/>
          <w:lang w:eastAsia="zh-CN"/>
        </w:rPr>
        <w:t>完成</w:t>
      </w:r>
      <w:r>
        <w:rPr>
          <w:rFonts w:hint="eastAsia" w:eastAsia="仿宋_GB2312"/>
          <w:sz w:val="32"/>
          <w:szCs w:val="32"/>
          <w:lang w:val="en-US" w:eastAsia="zh-CN"/>
        </w:rPr>
        <w:t>房屋修缮</w:t>
      </w:r>
      <w:r>
        <w:rPr>
          <w:rFonts w:hint="eastAsia" w:eastAsia="仿宋_GB2312"/>
          <w:sz w:val="32"/>
          <w:szCs w:val="32"/>
          <w:lang w:eastAsia="zh-CN"/>
        </w:rPr>
        <w:t>，交付结果，</w:t>
      </w:r>
      <w:r>
        <w:rPr>
          <w:rFonts w:eastAsia="仿宋_GB2312"/>
          <w:sz w:val="32"/>
          <w:szCs w:val="32"/>
        </w:rPr>
        <w:t>完成实际设立的目标，项目在实施过程中严格按照目标设立的各阶段任务进行开展工作，在前期立项过程中严格把质量关，保证项目实施各阶段顺利进行。</w:t>
      </w:r>
    </w:p>
    <w:p w14:paraId="7330649E">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64B8E369">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7A57C385">
      <w:pPr>
        <w:shd w:val="clear"/>
        <w:spacing w:line="600" w:lineRule="exact"/>
        <w:ind w:firstLine="640" w:firstLineChars="200"/>
        <w:outlineLvl w:val="0"/>
        <w:rPr>
          <w:rFonts w:hint="eastAsia" w:ascii="Times New Roman" w:hAnsi="Times New Roman" w:eastAsia="仿宋_GB2312" w:cs="Times New Roman"/>
          <w:b w:val="0"/>
          <w:bCs w:val="0"/>
          <w:kern w:val="2"/>
          <w:sz w:val="30"/>
          <w:szCs w:val="30"/>
          <w:highlight w:val="none"/>
          <w:lang w:val="en-US" w:eastAsia="zh-CN" w:bidi="ar-SA"/>
        </w:rPr>
      </w:pPr>
      <w:r>
        <w:rPr>
          <w:rFonts w:hint="eastAsia" w:ascii="Times New Roman" w:hAnsi="Times New Roman" w:eastAsia="仿宋_GB2312" w:cs="Times New Roman"/>
          <w:sz w:val="32"/>
          <w:szCs w:val="32"/>
          <w:highlight w:val="none"/>
          <w:lang w:val="en-US" w:eastAsia="zh-CN"/>
        </w:rPr>
        <w:t>此项目经</w:t>
      </w:r>
      <w:r>
        <w:rPr>
          <w:rFonts w:hint="default" w:ascii="Times New Roman" w:hAnsi="Times New Roman" w:eastAsia="仿宋_GB2312" w:cs="Times New Roman"/>
          <w:sz w:val="32"/>
          <w:szCs w:val="32"/>
          <w:highlight w:val="none"/>
          <w:lang w:val="en-US" w:eastAsia="zh-CN"/>
        </w:rPr>
        <w:t>达党财纪字〔2023〕</w:t>
      </w:r>
      <w:r>
        <w:rPr>
          <w:rFonts w:hint="eastAsia" w:ascii="Times New Roman" w:hAnsi="Times New Roman" w:eastAsia="仿宋_GB2312" w:cs="Times New Roman"/>
          <w:sz w:val="32"/>
          <w:szCs w:val="32"/>
          <w:highlight w:val="none"/>
          <w:lang w:val="en-US" w:eastAsia="zh-CN"/>
        </w:rPr>
        <w:t>1号文件批准，</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该项目</w:t>
      </w:r>
      <w:r>
        <w:rPr>
          <w:rFonts w:hint="eastAsia" w:eastAsia="仿宋_GB2312" w:cs="Times New Roman"/>
          <w:color w:val="000000" w:themeColor="text1"/>
          <w:sz w:val="32"/>
          <w:szCs w:val="32"/>
          <w:highlight w:val="none"/>
          <w:lang w:val="en-US" w:eastAsia="zh-CN"/>
          <w14:textFill>
            <w14:solidFill>
              <w14:schemeClr w14:val="tx1"/>
            </w14:solidFill>
          </w14:textFill>
        </w:rPr>
        <w:t>为2024年本级资金，</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年初预算数</w:t>
      </w:r>
      <w:r>
        <w:rPr>
          <w:rFonts w:hint="eastAsia" w:eastAsia="仿宋_GB2312" w:cs="Times New Roman"/>
          <w:color w:val="000000" w:themeColor="text1"/>
          <w:sz w:val="32"/>
          <w:szCs w:val="32"/>
          <w:highlight w:val="none"/>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万元，全年预算数</w:t>
      </w:r>
      <w:r>
        <w:rPr>
          <w:rFonts w:hint="eastAsia" w:eastAsia="仿宋_GB2312" w:cs="Times New Roman"/>
          <w:color w:val="000000" w:themeColor="text1"/>
          <w:sz w:val="32"/>
          <w:szCs w:val="32"/>
          <w:highlight w:val="none"/>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万元，</w:t>
      </w:r>
      <w:r>
        <w:rPr>
          <w:rFonts w:hint="eastAsia" w:eastAsia="仿宋_GB2312" w:cs="Times New Roman"/>
          <w:color w:val="000000" w:themeColor="text1"/>
          <w:sz w:val="32"/>
          <w:szCs w:val="32"/>
          <w:highlight w:val="none"/>
          <w:lang w:val="en-US" w:eastAsia="zh-CN"/>
          <w14:textFill>
            <w14:solidFill>
              <w14:schemeClr w14:val="tx1"/>
            </w14:solidFill>
          </w14:textFill>
        </w:rPr>
        <w:t>于2024年中追加项目，年中资金未进行调整，</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该项目资金已全部落实到位。</w:t>
      </w:r>
    </w:p>
    <w:p w14:paraId="0493974A">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011AF1B0">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w:t>
      </w:r>
      <w:r>
        <w:rPr>
          <w:rFonts w:hint="default" w:ascii="Times New Roman" w:hAnsi="Times New Roman" w:eastAsia="仿宋_GB2312" w:cs="Times New Roman"/>
          <w:b w:val="0"/>
          <w:bCs w:val="0"/>
          <w:kern w:val="2"/>
          <w:sz w:val="30"/>
          <w:szCs w:val="30"/>
          <w:highlight w:val="none"/>
          <w:lang w:val="en-US" w:eastAsia="zh-CN" w:bidi="ar-SA"/>
        </w:rPr>
        <w:t>数</w:t>
      </w:r>
      <w:r>
        <w:rPr>
          <w:rFonts w:hint="eastAsia" w:eastAsia="仿宋_GB2312" w:cs="Times New Roman"/>
          <w:b w:val="0"/>
          <w:bCs w:val="0"/>
          <w:kern w:val="2"/>
          <w:sz w:val="30"/>
          <w:szCs w:val="30"/>
          <w:highlight w:val="none"/>
          <w:lang w:val="en-US" w:eastAsia="zh-CN" w:bidi="ar-SA"/>
        </w:rPr>
        <w:t>5</w:t>
      </w:r>
      <w:r>
        <w:rPr>
          <w:rFonts w:hint="default" w:ascii="Times New Roman" w:hAnsi="Times New Roman" w:eastAsia="仿宋_GB2312" w:cs="Times New Roman"/>
          <w:b w:val="0"/>
          <w:bCs w:val="0"/>
          <w:kern w:val="2"/>
          <w:sz w:val="30"/>
          <w:szCs w:val="30"/>
          <w:highlight w:val="none"/>
          <w:lang w:val="en-US" w:eastAsia="zh-CN" w:bidi="ar-SA"/>
        </w:rPr>
        <w:t>万元，全年预算数</w:t>
      </w:r>
      <w:r>
        <w:rPr>
          <w:rFonts w:hint="eastAsia" w:eastAsia="仿宋_GB2312" w:cs="Times New Roman"/>
          <w:b w:val="0"/>
          <w:bCs w:val="0"/>
          <w:kern w:val="2"/>
          <w:sz w:val="30"/>
          <w:szCs w:val="30"/>
          <w:highlight w:val="none"/>
          <w:lang w:val="en-US" w:eastAsia="zh-CN" w:bidi="ar-SA"/>
        </w:rPr>
        <w:t>5</w:t>
      </w:r>
      <w:r>
        <w:rPr>
          <w:rFonts w:hint="default" w:ascii="Times New Roman" w:hAnsi="Times New Roman" w:eastAsia="仿宋_GB2312" w:cs="Times New Roman"/>
          <w:b w:val="0"/>
          <w:bCs w:val="0"/>
          <w:kern w:val="2"/>
          <w:sz w:val="30"/>
          <w:szCs w:val="30"/>
          <w:highlight w:val="none"/>
          <w:lang w:val="en-US" w:eastAsia="zh-CN" w:bidi="ar-SA"/>
        </w:rPr>
        <w:t>万元，</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b w:val="0"/>
          <w:bCs w:val="0"/>
          <w:kern w:val="2"/>
          <w:sz w:val="30"/>
          <w:szCs w:val="30"/>
          <w:highlight w:val="none"/>
          <w:lang w:val="en-US" w:eastAsia="zh-CN" w:bidi="ar-SA"/>
        </w:rPr>
        <w:t>5</w:t>
      </w:r>
      <w:r>
        <w:rPr>
          <w:rFonts w:hint="default" w:ascii="Times New Roman" w:hAnsi="Times New Roman" w:eastAsia="仿宋_GB2312" w:cs="Times New Roman"/>
          <w:sz w:val="32"/>
          <w:szCs w:val="32"/>
          <w:highlight w:val="none"/>
          <w:lang w:val="en-US" w:eastAsia="zh-CN"/>
        </w:rPr>
        <w:t>万元，预算执行率</w:t>
      </w:r>
      <w:r>
        <w:rPr>
          <w:rFonts w:hint="default" w:ascii="Times New Roman" w:hAnsi="Times New Roman" w:eastAsia="仿宋_GB2312" w:cs="Times New Roman"/>
          <w:b w:val="0"/>
          <w:bCs w:val="0"/>
          <w:kern w:val="2"/>
          <w:sz w:val="30"/>
          <w:szCs w:val="30"/>
          <w:highlight w:val="none"/>
          <w:lang w:val="en-US" w:eastAsia="zh-CN" w:bidi="ar-SA"/>
        </w:rPr>
        <w:t>为</w:t>
      </w:r>
      <w:r>
        <w:rPr>
          <w:rFonts w:hint="eastAsia" w:ascii="Times New Roman" w:hAnsi="Times New Roman" w:eastAsia="仿宋_GB2312" w:cs="Times New Roman"/>
          <w:b w:val="0"/>
          <w:bCs w:val="0"/>
          <w:kern w:val="2"/>
          <w:sz w:val="30"/>
          <w:szCs w:val="30"/>
          <w:highlight w:val="none"/>
          <w:lang w:val="en-US" w:eastAsia="zh-CN" w:bidi="ar-SA"/>
        </w:rPr>
        <w:t>100%</w:t>
      </w:r>
      <w:r>
        <w:rPr>
          <w:rFonts w:hint="default" w:ascii="Times New Roman" w:hAnsi="Times New Roman" w:eastAsia="仿宋_GB2312" w:cs="Times New Roman"/>
          <w:b w:val="0"/>
          <w:bCs w:val="0"/>
          <w:kern w:val="2"/>
          <w:sz w:val="30"/>
          <w:szCs w:val="30"/>
          <w:highlight w:val="none"/>
          <w:lang w:val="en-US" w:eastAsia="zh-CN" w:bidi="ar-SA"/>
        </w:rPr>
        <w:t>，主</w:t>
      </w:r>
      <w:r>
        <w:rPr>
          <w:rFonts w:hint="default" w:ascii="Times New Roman" w:hAnsi="Times New Roman" w:eastAsia="仿宋_GB2312" w:cs="Times New Roman"/>
          <w:sz w:val="32"/>
          <w:szCs w:val="32"/>
          <w:highlight w:val="none"/>
          <w:lang w:val="en-US" w:eastAsia="zh-CN"/>
        </w:rPr>
        <w:t>要用于</w:t>
      </w:r>
      <w:r>
        <w:rPr>
          <w:rFonts w:hint="eastAsia" w:ascii="Times New Roman" w:hAnsi="Times New Roman" w:eastAsia="仿宋_GB2312" w:cs="Times New Roman"/>
          <w:b w:val="0"/>
          <w:bCs w:val="0"/>
          <w:kern w:val="2"/>
          <w:sz w:val="30"/>
          <w:szCs w:val="30"/>
          <w:highlight w:val="none"/>
          <w:lang w:val="en-US" w:eastAsia="zh-CN" w:bidi="ar-SA"/>
        </w:rPr>
        <w:t>支付达坂城区委党校</w:t>
      </w:r>
      <w:r>
        <w:rPr>
          <w:rFonts w:hint="eastAsia" w:eastAsia="仿宋_GB2312" w:cs="Times New Roman"/>
          <w:b w:val="0"/>
          <w:bCs w:val="0"/>
          <w:kern w:val="2"/>
          <w:sz w:val="30"/>
          <w:szCs w:val="30"/>
          <w:highlight w:val="none"/>
          <w:lang w:val="en-US" w:eastAsia="zh-CN" w:bidi="ar-SA"/>
        </w:rPr>
        <w:t>费用</w:t>
      </w:r>
      <w:r>
        <w:rPr>
          <w:rFonts w:hint="default" w:ascii="Times New Roman" w:hAnsi="Times New Roman" w:eastAsia="仿宋_GB2312" w:cs="Times New Roman"/>
          <w:b w:val="0"/>
          <w:bCs w:val="0"/>
          <w:kern w:val="2"/>
          <w:sz w:val="30"/>
          <w:szCs w:val="30"/>
          <w:highlight w:val="none"/>
          <w:lang w:val="en-US" w:eastAsia="zh-CN" w:bidi="ar-SA"/>
        </w:rPr>
        <w:t>房屋修缮面积</w:t>
      </w:r>
      <w:r>
        <w:rPr>
          <w:rFonts w:hint="eastAsia" w:eastAsia="仿宋_GB2312" w:cs="Times New Roman"/>
          <w:b w:val="0"/>
          <w:bCs w:val="0"/>
          <w:kern w:val="2"/>
          <w:sz w:val="30"/>
          <w:szCs w:val="30"/>
          <w:highlight w:val="none"/>
          <w:lang w:val="en-US" w:eastAsia="zh-CN" w:bidi="ar-SA"/>
        </w:rPr>
        <w:t>40</w:t>
      </w:r>
      <w:r>
        <w:rPr>
          <w:rFonts w:hint="default" w:ascii="Times New Roman" w:hAnsi="Times New Roman" w:eastAsia="仿宋_GB2312" w:cs="Times New Roman"/>
          <w:b w:val="0"/>
          <w:bCs w:val="0"/>
          <w:kern w:val="2"/>
          <w:sz w:val="30"/>
          <w:szCs w:val="30"/>
          <w:highlight w:val="none"/>
          <w:lang w:val="en-US" w:eastAsia="zh-CN" w:bidi="ar-SA"/>
        </w:rPr>
        <w:t>平方米</w:t>
      </w:r>
      <w:r>
        <w:rPr>
          <w:rFonts w:hint="eastAsia" w:eastAsia="仿宋_GB2312" w:cs="Times New Roman"/>
          <w:b w:val="0"/>
          <w:bCs w:val="0"/>
          <w:kern w:val="2"/>
          <w:sz w:val="30"/>
          <w:szCs w:val="30"/>
          <w:highlight w:val="none"/>
          <w:lang w:val="en-US" w:eastAsia="zh-CN" w:bidi="ar-SA"/>
        </w:rPr>
        <w:t>，共计5万元</w:t>
      </w:r>
      <w:r>
        <w:rPr>
          <w:rFonts w:hint="eastAsia" w:ascii="Times New Roman" w:hAnsi="Times New Roman" w:eastAsia="仿宋_GB2312" w:cs="Times New Roman"/>
          <w:b w:val="0"/>
          <w:bCs w:val="0"/>
          <w:kern w:val="2"/>
          <w:sz w:val="30"/>
          <w:szCs w:val="30"/>
          <w:highlight w:val="none"/>
          <w:lang w:val="en-US" w:eastAsia="zh-CN" w:bidi="ar-SA"/>
        </w:rPr>
        <w:t>。</w:t>
      </w:r>
    </w:p>
    <w:p w14:paraId="46100D4F">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76DC6C20">
      <w:pPr>
        <w:spacing w:line="560" w:lineRule="exact"/>
        <w:ind w:firstLine="640" w:firstLineChars="200"/>
        <w:rPr>
          <w:rFonts w:hint="eastAsia" w:eastAsia="仿宋_GB2312" w:cs="Times New Roman"/>
          <w:b w:val="0"/>
          <w:bCs w:val="0"/>
          <w:kern w:val="2"/>
          <w:sz w:val="30"/>
          <w:szCs w:val="30"/>
          <w:highlight w:val="none"/>
          <w:lang w:val="en-US" w:eastAsia="zh-CN" w:bidi="ar-SA"/>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r>
        <w:rPr>
          <w:rFonts w:hint="eastAsia" w:ascii="Times New Roman" w:hAnsi="Times New Roman" w:eastAsia="仿宋_GB2312" w:cs="Times New Roman"/>
          <w:b w:val="0"/>
          <w:bCs w:val="0"/>
          <w:kern w:val="2"/>
          <w:sz w:val="30"/>
          <w:szCs w:val="30"/>
          <w:highlight w:val="none"/>
          <w:lang w:val="en-US" w:eastAsia="zh-CN" w:bidi="ar-SA"/>
        </w:rPr>
        <w:t>：</w:t>
      </w:r>
      <w:r>
        <w:rPr>
          <w:rFonts w:hint="default" w:ascii="Times New Roman" w:hAnsi="Times New Roman" w:eastAsia="仿宋_GB2312" w:cs="Times New Roman"/>
          <w:b w:val="0"/>
          <w:bCs w:val="0"/>
          <w:kern w:val="2"/>
          <w:sz w:val="30"/>
          <w:szCs w:val="30"/>
          <w:highlight w:val="none"/>
          <w:lang w:val="en-US" w:eastAsia="zh-CN" w:bidi="ar-SA"/>
        </w:rPr>
        <w:t>本项目为党校房屋修缮面积40平方米，改善学员学习环境</w:t>
      </w:r>
      <w:r>
        <w:rPr>
          <w:rFonts w:hint="eastAsia" w:eastAsia="仿宋_GB2312" w:cs="Times New Roman"/>
          <w:b w:val="0"/>
          <w:bCs w:val="0"/>
          <w:kern w:val="2"/>
          <w:sz w:val="30"/>
          <w:szCs w:val="30"/>
          <w:highlight w:val="none"/>
          <w:lang w:val="en-US" w:eastAsia="zh-CN" w:bidi="ar-SA"/>
        </w:rPr>
        <w:t>。</w:t>
      </w:r>
    </w:p>
    <w:p w14:paraId="6044ED82">
      <w:pPr>
        <w:spacing w:line="360" w:lineRule="auto"/>
        <w:ind w:firstLine="640" w:firstLineChars="200"/>
        <w:rPr>
          <w:rFonts w:hint="eastAsia" w:eastAsia="仿宋_GB2312"/>
          <w:sz w:val="32"/>
          <w:szCs w:val="32"/>
          <w:highlight w:val="none"/>
          <w:lang w:val="en-US" w:eastAsia="zh-CN"/>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阶段性目标</w:t>
      </w:r>
      <w:r>
        <w:rPr>
          <w:rFonts w:hint="eastAsia" w:eastAsia="仿宋_GB2312" w:cs="Times New Roman"/>
          <w:sz w:val="32"/>
          <w:szCs w:val="32"/>
          <w:lang w:eastAsia="zh-CN"/>
        </w:rPr>
        <w:t>：</w:t>
      </w:r>
      <w:r>
        <w:rPr>
          <w:rFonts w:hint="default" w:ascii="Times New Roman" w:hAnsi="Times New Roman" w:eastAsia="仿宋_GB2312" w:cs="Times New Roman"/>
          <w:b w:val="0"/>
          <w:bCs w:val="0"/>
          <w:kern w:val="2"/>
          <w:sz w:val="30"/>
          <w:szCs w:val="30"/>
          <w:highlight w:val="none"/>
          <w:lang w:val="en-US" w:eastAsia="zh-CN" w:bidi="ar-SA"/>
        </w:rPr>
        <w:t>本项目为党校房屋修缮面积，改善学员学习环境</w:t>
      </w:r>
      <w:r>
        <w:rPr>
          <w:rFonts w:hint="eastAsia" w:eastAsia="仿宋_GB2312" w:cs="Times New Roman"/>
          <w:b w:val="0"/>
          <w:bCs w:val="0"/>
          <w:kern w:val="2"/>
          <w:sz w:val="30"/>
          <w:szCs w:val="30"/>
          <w:highlight w:val="none"/>
          <w:lang w:val="en-US" w:eastAsia="zh-CN" w:bidi="ar-SA"/>
        </w:rPr>
        <w:t>，在上半年主要</w:t>
      </w:r>
      <w:r>
        <w:rPr>
          <w:rFonts w:hint="eastAsia" w:eastAsia="仿宋_GB2312"/>
          <w:sz w:val="32"/>
          <w:szCs w:val="32"/>
          <w:highlight w:val="none"/>
          <w:lang w:val="en-US" w:eastAsia="zh-CN"/>
        </w:rPr>
        <w:t>用于房屋修缮、绿化管道，下半年用于对外管网重新复核，水，电、暖、消防设施等升级改造等阶段性任务。年度该项目已完成，结果交付使用。</w:t>
      </w:r>
    </w:p>
    <w:p w14:paraId="4219CEBC">
      <w:p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二、绩效评价工作开展情况</w:t>
      </w:r>
    </w:p>
    <w:p w14:paraId="25D15507">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5F8BEEC9">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1.绩效评价完整性</w:t>
      </w:r>
    </w:p>
    <w:p w14:paraId="09023614">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08E17128">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14:paraId="6E47BAB8">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30060005">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73017763">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56FD6481">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14:paraId="2EAE7B6F">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（1）评估项目实施效果</w:t>
      </w:r>
    </w:p>
    <w:p w14:paraId="0145B068">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通过对项目预算执行情况及各项绩效目标达成程度的系统性分析，全面、客观地评估项目在预定周期内的实施效果，包括社会效益等多维度指标，为项目后续的改进与优化提供科学依据。</w:t>
      </w:r>
    </w:p>
    <w:p w14:paraId="2F44733F">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（2）提升资源利用效率</w:t>
      </w:r>
    </w:p>
    <w:p w14:paraId="753B14EE">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5F51AD66">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（3）强化项目管理责任</w:t>
      </w:r>
    </w:p>
    <w:p w14:paraId="4D91154C">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03AE9C5A">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（4）为决策提供支持</w:t>
      </w:r>
    </w:p>
    <w:p w14:paraId="6E43433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09067A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（5）促进项目持续改进</w:t>
      </w:r>
    </w:p>
    <w:p w14:paraId="211041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522829E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0C61BE6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val="0"/>
          <w:bCs w:val="0"/>
          <w:kern w:val="2"/>
          <w:sz w:val="32"/>
          <w:szCs w:val="32"/>
          <w:lang w:val="en-US" w:eastAsia="zh-CN" w:bidi="ar-SA"/>
        </w:rPr>
        <w:t>3.绩效评价的对象</w:t>
      </w:r>
    </w:p>
    <w:p w14:paraId="64E69A4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本项目预算绩效评价报告的评价对象是2023年本级追加，达党财纪字〔2023〕</w:t>
      </w:r>
      <w:r>
        <w:rPr>
          <w:rFonts w:hint="eastAsia" w:ascii="Times New Roman" w:hAnsi="Times New Roman" w:eastAsia="仿宋_GB2312" w:cs="Times New Roman"/>
          <w:b w:val="0"/>
          <w:bCs w:val="0"/>
          <w:kern w:val="2"/>
          <w:sz w:val="32"/>
          <w:szCs w:val="32"/>
          <w:lang w:val="en-US" w:eastAsia="zh-CN" w:bidi="ar-SA"/>
        </w:rPr>
        <w:t>1</w:t>
      </w:r>
      <w:r>
        <w:rPr>
          <w:rFonts w:hint="default" w:ascii="Times New Roman" w:hAnsi="Times New Roman" w:eastAsia="仿宋_GB2312" w:cs="Times New Roman"/>
          <w:b w:val="0"/>
          <w:bCs w:val="0"/>
          <w:kern w:val="2"/>
          <w:sz w:val="32"/>
          <w:szCs w:val="32"/>
          <w:lang w:val="en-US" w:eastAsia="zh-CN" w:bidi="ar-SA"/>
        </w:rPr>
        <w:t>号，追加党校</w:t>
      </w:r>
      <w:r>
        <w:rPr>
          <w:rFonts w:hint="eastAsia" w:ascii="Times New Roman" w:hAnsi="Times New Roman" w:eastAsia="仿宋_GB2312" w:cs="Times New Roman"/>
          <w:b w:val="0"/>
          <w:bCs w:val="0"/>
          <w:kern w:val="2"/>
          <w:sz w:val="32"/>
          <w:szCs w:val="32"/>
          <w:lang w:val="en-US" w:eastAsia="zh-CN" w:bidi="ar-SA"/>
        </w:rPr>
        <w:t>公共服务建设项目</w:t>
      </w:r>
      <w:r>
        <w:rPr>
          <w:rFonts w:hint="default" w:ascii="Times New Roman" w:hAnsi="Times New Roman" w:eastAsia="仿宋_GB2312" w:cs="Times New Roman"/>
          <w:b w:val="0"/>
          <w:bCs w:val="0"/>
          <w:kern w:val="2"/>
          <w:sz w:val="32"/>
          <w:szCs w:val="32"/>
          <w:lang w:val="en-US" w:eastAsia="zh-CN" w:bidi="ar-SA"/>
        </w:rPr>
        <w:t>。该项目由</w:t>
      </w:r>
      <w:r>
        <w:rPr>
          <w:rFonts w:hint="eastAsia" w:ascii="Times New Roman" w:hAnsi="Times New Roman" w:eastAsia="仿宋_GB2312" w:cs="Times New Roman"/>
          <w:b w:val="0"/>
          <w:bCs w:val="0"/>
          <w:kern w:val="2"/>
          <w:sz w:val="32"/>
          <w:szCs w:val="32"/>
          <w:lang w:val="en-US" w:eastAsia="zh-CN" w:bidi="ar-SA"/>
        </w:rPr>
        <w:t>达坂城区委员会党校</w:t>
      </w:r>
      <w:r>
        <w:rPr>
          <w:rFonts w:hint="default" w:ascii="Times New Roman" w:hAnsi="Times New Roman" w:eastAsia="仿宋_GB2312" w:cs="Times New Roman"/>
          <w:b w:val="0"/>
          <w:bCs w:val="0"/>
          <w:kern w:val="2"/>
          <w:sz w:val="32"/>
          <w:szCs w:val="32"/>
          <w:lang w:val="en-US" w:eastAsia="zh-CN" w:bidi="ar-SA"/>
        </w:rPr>
        <w:t>负责实施，旨在</w:t>
      </w:r>
      <w:r>
        <w:rPr>
          <w:rFonts w:hint="eastAsia" w:ascii="Times New Roman" w:hAnsi="Times New Roman" w:eastAsia="仿宋_GB2312" w:cs="Times New Roman"/>
          <w:b w:val="0"/>
          <w:bCs w:val="0"/>
          <w:kern w:val="2"/>
          <w:sz w:val="32"/>
          <w:szCs w:val="32"/>
          <w:lang w:val="en-US" w:eastAsia="zh-CN" w:bidi="ar-SA"/>
        </w:rPr>
        <w:t>支付</w:t>
      </w:r>
      <w:r>
        <w:rPr>
          <w:rFonts w:hint="default" w:ascii="Times New Roman" w:hAnsi="Times New Roman" w:eastAsia="仿宋_GB2312" w:cs="Times New Roman"/>
          <w:b w:val="0"/>
          <w:bCs w:val="0"/>
          <w:kern w:val="2"/>
          <w:sz w:val="32"/>
          <w:szCs w:val="32"/>
          <w:lang w:val="en-US" w:eastAsia="zh-CN" w:bidi="ar-SA"/>
        </w:rPr>
        <w:t>党校房屋修缮面积40平方米，改善学员学习环境</w:t>
      </w:r>
      <w:r>
        <w:rPr>
          <w:rFonts w:hint="eastAsia" w:ascii="Times New Roman" w:hAnsi="Times New Roman" w:eastAsia="仿宋_GB2312" w:cs="Times New Roman"/>
          <w:b w:val="0"/>
          <w:bCs w:val="0"/>
          <w:kern w:val="2"/>
          <w:sz w:val="32"/>
          <w:szCs w:val="32"/>
          <w:lang w:val="en-US" w:eastAsia="zh-CN" w:bidi="ar-SA"/>
        </w:rPr>
        <w:t>，</w:t>
      </w:r>
      <w:r>
        <w:rPr>
          <w:rFonts w:hint="default" w:ascii="Times New Roman" w:hAnsi="Times New Roman" w:eastAsia="仿宋_GB2312" w:cs="Times New Roman"/>
          <w:b w:val="0"/>
          <w:bCs w:val="0"/>
          <w:kern w:val="2"/>
          <w:sz w:val="32"/>
          <w:szCs w:val="32"/>
          <w:lang w:val="en-US" w:eastAsia="zh-CN" w:bidi="ar-SA"/>
        </w:rPr>
        <w:t>资金投入与支出，涉及资金总额为</w:t>
      </w:r>
      <w:r>
        <w:rPr>
          <w:rFonts w:hint="eastAsia" w:eastAsia="仿宋_GB2312" w:cs="Times New Roman"/>
          <w:b w:val="0"/>
          <w:bCs w:val="0"/>
          <w:kern w:val="2"/>
          <w:sz w:val="32"/>
          <w:szCs w:val="32"/>
          <w:lang w:val="en-US" w:eastAsia="zh-CN" w:bidi="ar-SA"/>
        </w:rPr>
        <w:t>5</w:t>
      </w:r>
      <w:r>
        <w:rPr>
          <w:rFonts w:hint="default" w:ascii="Times New Roman" w:hAnsi="Times New Roman" w:eastAsia="仿宋_GB2312" w:cs="Times New Roman"/>
          <w:b w:val="0"/>
          <w:bCs w:val="0"/>
          <w:kern w:val="2"/>
          <w:sz w:val="32"/>
          <w:szCs w:val="32"/>
          <w:lang w:val="en-US" w:eastAsia="zh-CN" w:bidi="ar-SA"/>
        </w:rPr>
        <w:t>万元。</w:t>
      </w:r>
    </w:p>
    <w:p w14:paraId="324B40BD">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4.绩效评价的范围</w:t>
      </w:r>
    </w:p>
    <w:p w14:paraId="3F83EA6E">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本项目预算绩效评价报告的评价范围广泛而全面，涵盖了从项目立项至评价时点期间的所有关键预算活动和财务流程。具体而言，评价范围包括但不限于以下几个方面：</w:t>
      </w:r>
    </w:p>
    <w:p w14:paraId="19EB23D8">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项目预算编制与执行：全面审视项目预算的编制依据、合理性、科学性以及实际执行情况，包括预算调整的原因和效果。</w:t>
      </w:r>
    </w:p>
    <w:p w14:paraId="267E8AEF">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资金管理：深入分析项目资金的分配、使用和监管情况，确保资金使用的合规性、高效性和透明度。</w:t>
      </w:r>
    </w:p>
    <w:p w14:paraId="19E01CD2">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项目实施进度与产出：评估项目是否按照既定计划顺利推进，各项任务是否按时完成，以及项目产出的数量、质量和时效性是否符合预期。</w:t>
      </w:r>
    </w:p>
    <w:p w14:paraId="1E59BB39">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社会影响：考察项目对社会方面的综合影响。</w:t>
      </w:r>
    </w:p>
    <w:p w14:paraId="07793574">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48E398F4">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14:paraId="5AC985B3">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3321091D">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6E20F725">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16346F89">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5CDA7C09">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34D246A9">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14:paraId="3AE91BB1">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14:paraId="1D02F596">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14:paraId="3EC09052">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4ADEEF27">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14:paraId="204DA80D">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w:t>
      </w:r>
      <w:r>
        <w:rPr>
          <w:rFonts w:hint="eastAsia" w:eastAsia="仿宋_GB2312" w:cs="Times New Roman"/>
          <w:color w:val="000000"/>
          <w:spacing w:val="17"/>
          <w:sz w:val="32"/>
          <w:szCs w:val="32"/>
          <w:lang w:val="en-US" w:eastAsia="zh-CN"/>
        </w:rPr>
        <w:t>20</w:t>
      </w:r>
      <w:r>
        <w:rPr>
          <w:rFonts w:hint="default" w:ascii="Times New Roman" w:hAnsi="Times New Roman" w:eastAsia="仿宋_GB2312" w:cs="Times New Roman"/>
          <w:color w:val="000000"/>
          <w:spacing w:val="17"/>
          <w:sz w:val="32"/>
          <w:szCs w:val="32"/>
        </w:rPr>
        <w:t>分，项目过程权重为20分，项目产出权重为40分，项目效益权重为20分。</w:t>
      </w:r>
    </w:p>
    <w:p w14:paraId="6FA1C4A1">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14:paraId="7CBC3BBF">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14:paraId="23FDC03B">
      <w:pPr>
        <w:pStyle w:val="10"/>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14:paraId="18CE842B">
      <w:pPr>
        <w:pStyle w:val="10"/>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14:paraId="2C736C5E">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14:paraId="4EF86CD3">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绩效评价从项目决策、项目过程、项目产出、项目效益四个维度进行评价。评价对象为项目目标实施情况，评价核心为资金的支出完成情况和项目的产出效益。</w:t>
      </w:r>
    </w:p>
    <w:p w14:paraId="3661F3CE">
      <w:pPr>
        <w:spacing w:line="560" w:lineRule="exact"/>
        <w:ind w:firstLine="708" w:firstLineChars="200"/>
        <w:rPr>
          <w:rFonts w:hint="default" w:ascii="Times New Roman" w:hAnsi="Times New Roman" w:eastAsia="仿宋_GB2312" w:cs="Times New Roman"/>
          <w:color w:val="000000"/>
          <w:spacing w:val="17"/>
          <w:sz w:val="32"/>
          <w:szCs w:val="32"/>
          <w:highlight w:val="green"/>
        </w:rPr>
      </w:pPr>
      <w:r>
        <w:rPr>
          <w:rFonts w:hint="default" w:ascii="Times New Roman" w:hAnsi="Times New Roman" w:eastAsia="仿宋_GB2312" w:cs="Times New Roman"/>
          <w:color w:val="000000"/>
          <w:spacing w:val="17"/>
          <w:sz w:val="32"/>
          <w:szCs w:val="32"/>
          <w:highlight w:val="none"/>
        </w:rPr>
        <w:t>本次评价指标中，既有定性指标又有定量指标，各类指标因考核内容不同和客观标准不同存在较大差异，因此核定具体指标时采用了不同方法，具体评价方法如下：</w:t>
      </w:r>
    </w:p>
    <w:p w14:paraId="192B2D6E">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 xml:space="preserve">（一）成本效益分析法。是指将投入与产出、效益进行关联性分析的方法。 </w:t>
      </w:r>
    </w:p>
    <w:p w14:paraId="4440403D">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（二）比较法。是指将实施情况与绩效目标、历史情况、不同部门和地区同类支出情况进行比较的方法。</w:t>
      </w:r>
    </w:p>
    <w:p w14:paraId="6AFCA546">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（三）因素分析法。是指综合分析影响绩效目标实现、实施效果的内外部因素的方法。</w:t>
      </w:r>
    </w:p>
    <w:p w14:paraId="57286475">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14:paraId="1E9D29B8">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highlight w:val="none"/>
          <w:lang w:val="en-US" w:eastAsia="zh-CN"/>
        </w:rPr>
        <w:t>计划</w:t>
      </w:r>
      <w:r>
        <w:rPr>
          <w:rFonts w:hint="default" w:ascii="Times New Roman" w:hAnsi="Times New Roman" w:eastAsia="仿宋_GB2312" w:cs="Times New Roman"/>
          <w:b w:val="0"/>
          <w:bCs w:val="0"/>
          <w:highlight w:val="none"/>
        </w:rPr>
        <w:t>标准。</w:t>
      </w:r>
    </w:p>
    <w:p w14:paraId="0F208BF1">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计划标准。指以预先制定的目标、计划、预算、定额等作为评价标准。</w:t>
      </w:r>
    </w:p>
    <w:p w14:paraId="16A6311D">
      <w:pPr>
        <w:pStyle w:val="10"/>
        <w:numPr>
          <w:ilvl w:val="0"/>
          <w:numId w:val="1"/>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5C2BE59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14:paraId="31FCAA8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green"/>
        </w:rPr>
      </w:pPr>
      <w:r>
        <w:rPr>
          <w:rFonts w:hint="default" w:ascii="Times New Roman" w:hAnsi="Times New Roman" w:eastAsia="仿宋_GB2312" w:cs="Times New Roman"/>
          <w:sz w:val="32"/>
          <w:szCs w:val="32"/>
          <w:highlight w:val="none"/>
        </w:rPr>
        <w:t>在项目绩效评价工作启动之初，成立了专门的评价工作小组，小组成员由</w:t>
      </w:r>
      <w:r>
        <w:rPr>
          <w:rFonts w:hint="eastAsia" w:eastAsia="仿宋_GB2312" w:cs="Times New Roman"/>
          <w:sz w:val="32"/>
          <w:szCs w:val="32"/>
          <w:highlight w:val="none"/>
          <w:lang w:eastAsia="zh-CN"/>
        </w:rPr>
        <w:t>分管</w:t>
      </w:r>
      <w:r>
        <w:rPr>
          <w:rFonts w:hint="default" w:ascii="Times New Roman" w:hAnsi="Times New Roman" w:eastAsia="仿宋_GB2312" w:cs="Times New Roman"/>
          <w:sz w:val="32"/>
          <w:szCs w:val="32"/>
          <w:highlight w:val="none"/>
        </w:rPr>
        <w:t>财务</w:t>
      </w:r>
      <w:r>
        <w:rPr>
          <w:rFonts w:hint="eastAsia" w:eastAsia="仿宋_GB2312" w:cs="Times New Roman"/>
          <w:sz w:val="32"/>
          <w:szCs w:val="32"/>
          <w:highlight w:val="none"/>
          <w:lang w:eastAsia="zh-CN"/>
        </w:rPr>
        <w:t>领导</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业务领导及</w:t>
      </w:r>
      <w:r>
        <w:rPr>
          <w:rFonts w:hint="default" w:ascii="Times New Roman" w:hAnsi="Times New Roman" w:eastAsia="仿宋_GB2312" w:cs="Times New Roman"/>
          <w:sz w:val="32"/>
          <w:szCs w:val="32"/>
          <w:highlight w:val="none"/>
        </w:rPr>
        <w:t>专业人员组成，确保从多角度、全方位对项目绩效进行评价。同时，明确了评价工作的目标、范围、重点及时间安排，制定了详细的工作计划，为评价工作的顺利开展奠定了坚实基础。</w:t>
      </w:r>
    </w:p>
    <w:p w14:paraId="3AA1B9B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42502E2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10D600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5A220F8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等。在数据收集过程中，注重数据的质量与完整性，对缺失或异常的数据进行了合理的处理和补充。随后，对收集到的数据进行了系统的整理与分类，为后续的数据分析提供了有力支持。</w:t>
      </w:r>
    </w:p>
    <w:p w14:paraId="264616C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51CCA7B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709F91D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68B7816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44EFADC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5BD08F0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06AC202C">
      <w:pPr>
        <w:numPr>
          <w:ilvl w:val="0"/>
          <w:numId w:val="2"/>
        </w:num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rPr>
        <w:t>综合评价情况及评价结</w:t>
      </w:r>
      <w:r>
        <w:rPr>
          <w:rFonts w:hint="default" w:ascii="Times New Roman" w:hAnsi="Times New Roman" w:eastAsia="黑体" w:cs="Times New Roman"/>
          <w:sz w:val="32"/>
          <w:szCs w:val="32"/>
          <w:highlight w:val="none"/>
        </w:rPr>
        <w:t>论（附相关评分表）</w:t>
      </w:r>
    </w:p>
    <w:p w14:paraId="7B419597">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一</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评价情况</w:t>
      </w:r>
    </w:p>
    <w:p w14:paraId="71000528">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kern w:val="2"/>
          <w:sz w:val="32"/>
          <w:szCs w:val="32"/>
          <w:highlight w:val="none"/>
          <w:lang w:val="en-US" w:eastAsia="zh-CN" w:bidi="ar-SA"/>
        </w:rPr>
        <w:t>本项目的综合评价基于对项目各方面绩效的深入分析与评估。从项目目标的达成情况来看</w:t>
      </w:r>
      <w:r>
        <w:rPr>
          <w:rFonts w:hint="eastAsia"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eastAsia="zh-CN" w:bidi="ar-SA"/>
        </w:rPr>
        <w:t>2023年本级追加，达党财纪字〔2023〕1号，追加党校公共服务建设项目在</w:t>
      </w:r>
      <w:r>
        <w:rPr>
          <w:rFonts w:hint="eastAsia" w:ascii="Times New Roman" w:hAnsi="Times New Roman" w:eastAsia="仿宋_GB2312" w:cs="Times New Roman"/>
          <w:kern w:val="2"/>
          <w:sz w:val="32"/>
          <w:szCs w:val="32"/>
          <w:highlight w:val="none"/>
          <w:lang w:val="en-US" w:eastAsia="zh-CN" w:bidi="ar-SA"/>
        </w:rPr>
        <w:t>改善学员培训环境</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党校房屋修缮面积</w:t>
      </w:r>
      <w:r>
        <w:rPr>
          <w:rFonts w:hint="default" w:ascii="Times New Roman" w:hAnsi="Times New Roman" w:eastAsia="仿宋_GB2312" w:cs="Times New Roman"/>
          <w:kern w:val="2"/>
          <w:sz w:val="32"/>
          <w:szCs w:val="32"/>
          <w:highlight w:val="none"/>
          <w:lang w:val="en-US" w:eastAsia="zh-CN" w:bidi="ar-SA"/>
        </w:rPr>
        <w:t>等方面表现出色，达到了预期的标准与要求。同时，项目也取得了显著的成效。</w:t>
      </w:r>
    </w:p>
    <w:p w14:paraId="5D343ED6">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在项目管理方面，</w:t>
      </w:r>
      <w:r>
        <w:rPr>
          <w:rFonts w:hint="eastAsia" w:ascii="Times New Roman" w:hAnsi="Times New Roman" w:eastAsia="仿宋_GB2312" w:cs="Times New Roman"/>
          <w:kern w:val="2"/>
          <w:sz w:val="32"/>
          <w:szCs w:val="32"/>
          <w:highlight w:val="none"/>
          <w:lang w:val="en-US" w:eastAsia="zh-CN" w:bidi="ar-SA"/>
        </w:rPr>
        <w:t>达坂城区委党校</w:t>
      </w:r>
      <w:r>
        <w:rPr>
          <w:rFonts w:hint="default" w:ascii="Times New Roman" w:hAnsi="Times New Roman" w:eastAsia="仿宋_GB2312" w:cs="Times New Roman"/>
          <w:kern w:val="2"/>
          <w:sz w:val="32"/>
          <w:szCs w:val="32"/>
          <w:highlight w:val="none"/>
          <w:lang w:val="en-US" w:eastAsia="zh-CN" w:bidi="ar-SA"/>
        </w:rPr>
        <w:t>通过有效的规划、组织与协调，项目得以顺利实施，并在预算与时间上保持了良好的控制。</w:t>
      </w:r>
    </w:p>
    <w:p w14:paraId="7AA1D552">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kern w:val="2"/>
          <w:sz w:val="32"/>
          <w:szCs w:val="32"/>
          <w:highlight w:val="none"/>
          <w:lang w:val="en-US" w:eastAsia="zh-CN" w:bidi="ar-SA"/>
        </w:rPr>
        <w:t>从项目效益的角度来看，本项目不仅实现了预期的社会效益方面产生了积极的影响。具体而言，</w:t>
      </w:r>
      <w:r>
        <w:rPr>
          <w:rFonts w:hint="eastAsia" w:ascii="Times New Roman" w:hAnsi="Times New Roman" w:eastAsia="仿宋_GB2312" w:cs="Times New Roman"/>
          <w:kern w:val="2"/>
          <w:sz w:val="32"/>
          <w:szCs w:val="32"/>
          <w:highlight w:val="none"/>
          <w:lang w:val="en-US" w:eastAsia="zh-CN" w:bidi="ar-SA"/>
        </w:rPr>
        <w:t>改善学员培训环境</w:t>
      </w:r>
      <w:r>
        <w:rPr>
          <w:rFonts w:hint="default" w:ascii="Times New Roman" w:hAnsi="Times New Roman" w:eastAsia="仿宋_GB2312" w:cs="Times New Roman"/>
          <w:kern w:val="2"/>
          <w:sz w:val="32"/>
          <w:szCs w:val="32"/>
          <w:highlight w:val="none"/>
          <w:lang w:val="en-US" w:eastAsia="zh-CN" w:bidi="ar-SA"/>
        </w:rPr>
        <w:t>等方面的提升，为项目的利益相关者带来了实实在在的利益。</w:t>
      </w:r>
    </w:p>
    <w:p w14:paraId="65871231">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kern w:val="2"/>
          <w:sz w:val="32"/>
          <w:szCs w:val="32"/>
          <w:highlight w:val="none"/>
          <w:lang w:val="en-US" w:eastAsia="zh-CN" w:bidi="ar-SA"/>
        </w:rPr>
        <w:t>综上所述，2023年本级追加，达党财纪字〔2023〕1号，追加党校公共服务建设项目在绩效评价中表现出色，达到了项目的预期目标，并在多个方面取得了显著的成效。</w:t>
      </w:r>
    </w:p>
    <w:p w14:paraId="54598732">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3868F9CC">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 xml:space="preserve">总得分为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分，属于“优”。其中，项目决策类指标权重为20分，得分为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%。具体打分情况详见：附件1综合评分表</w:t>
      </w:r>
      <w:r>
        <w:rPr>
          <w:rFonts w:hint="default" w:ascii="Times New Roman" w:hAnsi="Times New Roman" w:eastAsia="仿宋_GB2312" w:cs="Times New Roman"/>
          <w:b w:val="0"/>
          <w:bCs w:val="0"/>
          <w:highlight w:val="none"/>
          <w:lang w:eastAsia="zh-CN"/>
        </w:rPr>
        <w:t>。</w:t>
      </w:r>
    </w:p>
    <w:p w14:paraId="0DA8308E">
      <w:pPr>
        <w:pStyle w:val="10"/>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4"/>
        <w:tblW w:w="4997" w:type="pct"/>
        <w:jc w:val="center"/>
        <w:tblLayout w:type="autofit"/>
        <w:tblCellMar>
          <w:top w:w="0" w:type="dxa"/>
          <w:left w:w="108" w:type="dxa"/>
          <w:bottom w:w="0" w:type="dxa"/>
          <w:right w:w="108" w:type="dxa"/>
        </w:tblCellMar>
      </w:tblPr>
      <w:tblGrid>
        <w:gridCol w:w="2787"/>
        <w:gridCol w:w="1926"/>
        <w:gridCol w:w="2023"/>
        <w:gridCol w:w="2023"/>
      </w:tblGrid>
      <w:tr w14:paraId="28F9F1EC">
        <w:tblPrEx>
          <w:tblCellMar>
            <w:top w:w="0" w:type="dxa"/>
            <w:left w:w="108" w:type="dxa"/>
            <w:bottom w:w="0" w:type="dxa"/>
            <w:right w:w="108" w:type="dxa"/>
          </w:tblCellMar>
        </w:tblPrEx>
        <w:trPr>
          <w:trHeight w:val="90" w:hRule="atLeast"/>
          <w:tblHeader/>
          <w:jc w:val="center"/>
        </w:trPr>
        <w:tc>
          <w:tcPr>
            <w:tcW w:w="1590" w:type="pct"/>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3C69E152">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1099" w:type="pct"/>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2746797">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1154" w:type="pct"/>
            <w:tcBorders>
              <w:top w:val="single" w:color="auto" w:sz="4" w:space="0"/>
              <w:left w:val="nil"/>
              <w:bottom w:val="single" w:color="auto" w:sz="4" w:space="0"/>
              <w:right w:val="single" w:color="auto" w:sz="4" w:space="0"/>
            </w:tcBorders>
            <w:shd w:val="clear" w:color="000000" w:fill="BEBEBE" w:themeFill="background1" w:themeFillShade="BF"/>
            <w:vAlign w:val="center"/>
          </w:tcPr>
          <w:p w14:paraId="15E4DA57">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c>
          <w:tcPr>
            <w:tcW w:w="1154" w:type="pct"/>
            <w:tcBorders>
              <w:top w:val="single" w:color="auto" w:sz="4" w:space="0"/>
              <w:left w:val="nil"/>
              <w:bottom w:val="single" w:color="auto" w:sz="4" w:space="0"/>
              <w:right w:val="single" w:color="auto" w:sz="4" w:space="0"/>
            </w:tcBorders>
            <w:shd w:val="clear" w:color="000000" w:fill="BEBEBE" w:themeFill="background1" w:themeFillShade="BF"/>
            <w:vAlign w:val="center"/>
          </w:tcPr>
          <w:p w14:paraId="296F2C81">
            <w:pPr>
              <w:jc w:val="center"/>
              <w:rPr>
                <w:rFonts w:hint="eastAsia"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得分率</w:t>
            </w:r>
          </w:p>
        </w:tc>
      </w:tr>
      <w:tr w14:paraId="0F6F05CC">
        <w:tblPrEx>
          <w:tblCellMar>
            <w:top w:w="0" w:type="dxa"/>
            <w:left w:w="108" w:type="dxa"/>
            <w:bottom w:w="0" w:type="dxa"/>
            <w:right w:w="108" w:type="dxa"/>
          </w:tblCellMar>
        </w:tblPrEx>
        <w:trPr>
          <w:trHeight w:val="340" w:hRule="atLeast"/>
          <w:jc w:val="center"/>
        </w:trPr>
        <w:tc>
          <w:tcPr>
            <w:tcW w:w="1590" w:type="pct"/>
            <w:tcBorders>
              <w:top w:val="nil"/>
              <w:left w:val="single" w:color="auto" w:sz="4" w:space="0"/>
              <w:bottom w:val="single" w:color="auto" w:sz="4" w:space="0"/>
              <w:right w:val="single" w:color="auto" w:sz="4" w:space="0"/>
            </w:tcBorders>
            <w:shd w:val="clear" w:color="auto" w:fill="auto"/>
            <w:vAlign w:val="center"/>
          </w:tcPr>
          <w:p w14:paraId="7ECC2743">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1099" w:type="pct"/>
            <w:tcBorders>
              <w:top w:val="nil"/>
              <w:left w:val="nil"/>
              <w:bottom w:val="single" w:color="auto" w:sz="4" w:space="0"/>
              <w:right w:val="single" w:color="auto" w:sz="4" w:space="0"/>
            </w:tcBorders>
            <w:shd w:val="clear" w:color="auto" w:fill="auto"/>
            <w:vAlign w:val="center"/>
          </w:tcPr>
          <w:p w14:paraId="2BE7F794">
            <w:pPr>
              <w:jc w:val="center"/>
              <w:rPr>
                <w:rFonts w:hint="default" w:ascii="Times New Roman" w:hAnsi="Times New Roman" w:eastAsia="仿宋_GB2312" w:cs="Times New Roman"/>
                <w:color w:val="000000"/>
                <w:sz w:val="21"/>
                <w:szCs w:val="21"/>
                <w:highlight w:val="yellow"/>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1154" w:type="pct"/>
            <w:tcBorders>
              <w:top w:val="nil"/>
              <w:left w:val="nil"/>
              <w:bottom w:val="single" w:color="auto" w:sz="4" w:space="0"/>
              <w:right w:val="single" w:color="auto" w:sz="4" w:space="0"/>
            </w:tcBorders>
            <w:shd w:val="clear" w:color="auto" w:fill="auto"/>
            <w:vAlign w:val="center"/>
          </w:tcPr>
          <w:p w14:paraId="7BBDC4C6">
            <w:pPr>
              <w:jc w:val="center"/>
              <w:rPr>
                <w:rFonts w:hint="default" w:ascii="Times New Roman" w:hAnsi="Times New Roman" w:eastAsia="仿宋_GB2312" w:cs="Times New Roman"/>
                <w:color w:val="000000"/>
                <w:kern w:val="2"/>
                <w:sz w:val="21"/>
                <w:szCs w:val="21"/>
                <w:highlight w:val="none"/>
                <w:lang w:val="en-US" w:eastAsia="zh-CN" w:bidi="ar-SA"/>
              </w:rPr>
            </w:pPr>
            <w:r>
              <w:rPr>
                <w:rFonts w:hint="default" w:ascii="Times New Roman" w:hAnsi="Times New Roman" w:eastAsia="仿宋_GB2312" w:cs="Times New Roman"/>
                <w:color w:val="000000"/>
                <w:sz w:val="21"/>
                <w:szCs w:val="21"/>
                <w:highlight w:val="none"/>
                <w:lang w:val="en-US" w:eastAsia="zh-CN"/>
              </w:rPr>
              <w:t>20</w:t>
            </w:r>
          </w:p>
        </w:tc>
        <w:tc>
          <w:tcPr>
            <w:tcW w:w="1154" w:type="pct"/>
            <w:tcBorders>
              <w:top w:val="nil"/>
              <w:left w:val="nil"/>
              <w:bottom w:val="single" w:color="auto" w:sz="4" w:space="0"/>
              <w:right w:val="single" w:color="auto" w:sz="4" w:space="0"/>
            </w:tcBorders>
            <w:shd w:val="clear" w:color="auto" w:fill="auto"/>
            <w:vAlign w:val="center"/>
          </w:tcPr>
          <w:p w14:paraId="4E0E0EDA">
            <w:pPr>
              <w:jc w:val="center"/>
              <w:rPr>
                <w:rFonts w:hint="default" w:ascii="Times New Roman" w:hAnsi="Times New Roman" w:eastAsia="仿宋_GB2312" w:cs="Times New Roman"/>
                <w:color w:val="000000"/>
                <w:kern w:val="2"/>
                <w:sz w:val="21"/>
                <w:szCs w:val="21"/>
                <w:highlight w:val="none"/>
                <w:lang w:val="en-US" w:eastAsia="zh-CN" w:bidi="ar-SA"/>
              </w:rPr>
            </w:pPr>
            <w:r>
              <w:rPr>
                <w:rFonts w:hint="default" w:ascii="Times New Roman" w:hAnsi="Times New Roman" w:eastAsia="仿宋_GB2312" w:cs="Times New Roman"/>
                <w:color w:val="000000"/>
                <w:sz w:val="21"/>
                <w:szCs w:val="21"/>
                <w:highlight w:val="none"/>
                <w:lang w:val="en-US" w:eastAsia="zh-CN"/>
              </w:rPr>
              <w:t>20</w:t>
            </w:r>
          </w:p>
        </w:tc>
      </w:tr>
      <w:tr w14:paraId="0F91EAEA">
        <w:tblPrEx>
          <w:tblCellMar>
            <w:top w:w="0" w:type="dxa"/>
            <w:left w:w="108" w:type="dxa"/>
            <w:bottom w:w="0" w:type="dxa"/>
            <w:right w:w="108" w:type="dxa"/>
          </w:tblCellMar>
        </w:tblPrEx>
        <w:trPr>
          <w:trHeight w:val="340" w:hRule="atLeast"/>
          <w:jc w:val="center"/>
        </w:trPr>
        <w:tc>
          <w:tcPr>
            <w:tcW w:w="1590" w:type="pct"/>
            <w:tcBorders>
              <w:top w:val="nil"/>
              <w:left w:val="single" w:color="auto" w:sz="4" w:space="0"/>
              <w:bottom w:val="single" w:color="auto" w:sz="4" w:space="0"/>
              <w:right w:val="single" w:color="auto" w:sz="4" w:space="0"/>
            </w:tcBorders>
            <w:shd w:val="clear" w:color="auto" w:fill="auto"/>
            <w:vAlign w:val="center"/>
          </w:tcPr>
          <w:p w14:paraId="2891ECBD">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1099" w:type="pct"/>
            <w:tcBorders>
              <w:top w:val="nil"/>
              <w:left w:val="nil"/>
              <w:bottom w:val="single" w:color="auto" w:sz="4" w:space="0"/>
              <w:right w:val="single" w:color="auto" w:sz="4" w:space="0"/>
            </w:tcBorders>
            <w:shd w:val="clear" w:color="auto" w:fill="auto"/>
            <w:vAlign w:val="center"/>
          </w:tcPr>
          <w:p w14:paraId="6671F305">
            <w:pPr>
              <w:jc w:val="center"/>
              <w:rPr>
                <w:rFonts w:hint="default" w:ascii="Times New Roman" w:hAnsi="Times New Roman" w:eastAsia="仿宋_GB2312" w:cs="Times New Roman"/>
                <w:color w:val="000000"/>
                <w:sz w:val="21"/>
                <w:szCs w:val="21"/>
                <w:highlight w:val="yellow"/>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1154" w:type="pct"/>
            <w:tcBorders>
              <w:top w:val="nil"/>
              <w:left w:val="nil"/>
              <w:bottom w:val="single" w:color="auto" w:sz="4" w:space="0"/>
              <w:right w:val="single" w:color="auto" w:sz="4" w:space="0"/>
            </w:tcBorders>
            <w:shd w:val="clear" w:color="auto" w:fill="auto"/>
            <w:vAlign w:val="center"/>
          </w:tcPr>
          <w:p w14:paraId="4F78E977">
            <w:pPr>
              <w:jc w:val="center"/>
              <w:rPr>
                <w:rFonts w:hint="default" w:ascii="Times New Roman" w:hAnsi="Times New Roman" w:eastAsia="仿宋_GB2312" w:cs="Times New Roman"/>
                <w:color w:val="000000"/>
                <w:kern w:val="2"/>
                <w:sz w:val="21"/>
                <w:szCs w:val="21"/>
                <w:highlight w:val="none"/>
                <w:lang w:val="en-US" w:eastAsia="zh-CN" w:bidi="ar-SA"/>
              </w:rPr>
            </w:pPr>
            <w:r>
              <w:rPr>
                <w:rFonts w:hint="default" w:ascii="Times New Roman" w:hAnsi="Times New Roman" w:eastAsia="仿宋_GB2312" w:cs="Times New Roman"/>
                <w:color w:val="000000"/>
                <w:sz w:val="21"/>
                <w:szCs w:val="21"/>
                <w:highlight w:val="none"/>
                <w:lang w:val="en-US" w:eastAsia="zh-CN"/>
              </w:rPr>
              <w:t>20</w:t>
            </w:r>
          </w:p>
        </w:tc>
        <w:tc>
          <w:tcPr>
            <w:tcW w:w="1154" w:type="pct"/>
            <w:tcBorders>
              <w:top w:val="nil"/>
              <w:left w:val="nil"/>
              <w:bottom w:val="single" w:color="auto" w:sz="4" w:space="0"/>
              <w:right w:val="single" w:color="auto" w:sz="4" w:space="0"/>
            </w:tcBorders>
            <w:shd w:val="clear" w:color="auto" w:fill="auto"/>
            <w:vAlign w:val="center"/>
          </w:tcPr>
          <w:p w14:paraId="286F0E6B">
            <w:pPr>
              <w:jc w:val="center"/>
              <w:rPr>
                <w:rFonts w:hint="default" w:ascii="Times New Roman" w:hAnsi="Times New Roman" w:eastAsia="仿宋_GB2312" w:cs="Times New Roman"/>
                <w:color w:val="000000"/>
                <w:kern w:val="2"/>
                <w:sz w:val="21"/>
                <w:szCs w:val="21"/>
                <w:highlight w:val="none"/>
                <w:lang w:val="en-US" w:eastAsia="zh-CN" w:bidi="ar-SA"/>
              </w:rPr>
            </w:pPr>
            <w:r>
              <w:rPr>
                <w:rFonts w:hint="default" w:ascii="Times New Roman" w:hAnsi="Times New Roman" w:eastAsia="仿宋_GB2312" w:cs="Times New Roman"/>
                <w:color w:val="000000"/>
                <w:sz w:val="21"/>
                <w:szCs w:val="21"/>
                <w:highlight w:val="none"/>
                <w:lang w:val="en-US" w:eastAsia="zh-CN"/>
              </w:rPr>
              <w:t>20</w:t>
            </w:r>
          </w:p>
        </w:tc>
      </w:tr>
      <w:tr w14:paraId="1C5E97E9">
        <w:tblPrEx>
          <w:tblCellMar>
            <w:top w:w="0" w:type="dxa"/>
            <w:left w:w="108" w:type="dxa"/>
            <w:bottom w:w="0" w:type="dxa"/>
            <w:right w:w="108" w:type="dxa"/>
          </w:tblCellMar>
        </w:tblPrEx>
        <w:trPr>
          <w:trHeight w:val="340" w:hRule="atLeast"/>
          <w:jc w:val="center"/>
        </w:trPr>
        <w:tc>
          <w:tcPr>
            <w:tcW w:w="1590" w:type="pct"/>
            <w:tcBorders>
              <w:top w:val="nil"/>
              <w:left w:val="single" w:color="auto" w:sz="4" w:space="0"/>
              <w:bottom w:val="single" w:color="auto" w:sz="4" w:space="0"/>
              <w:right w:val="single" w:color="auto" w:sz="4" w:space="0"/>
            </w:tcBorders>
            <w:shd w:val="clear" w:color="auto" w:fill="auto"/>
            <w:vAlign w:val="center"/>
          </w:tcPr>
          <w:p w14:paraId="5B6ACF1C">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1099" w:type="pct"/>
            <w:tcBorders>
              <w:top w:val="nil"/>
              <w:left w:val="nil"/>
              <w:bottom w:val="single" w:color="auto" w:sz="4" w:space="0"/>
              <w:right w:val="single" w:color="auto" w:sz="4" w:space="0"/>
            </w:tcBorders>
            <w:shd w:val="clear" w:color="auto" w:fill="auto"/>
            <w:vAlign w:val="center"/>
          </w:tcPr>
          <w:p w14:paraId="41CBF47B">
            <w:pPr>
              <w:jc w:val="center"/>
              <w:rPr>
                <w:rFonts w:hint="default" w:ascii="Times New Roman" w:hAnsi="Times New Roman" w:eastAsia="仿宋_GB2312" w:cs="Times New Roman"/>
                <w:color w:val="000000"/>
                <w:sz w:val="21"/>
                <w:szCs w:val="21"/>
                <w:highlight w:val="yellow"/>
                <w:lang w:val="en-US" w:eastAsia="zh-CN"/>
              </w:rPr>
            </w:pPr>
            <w:r>
              <w:rPr>
                <w:rFonts w:hint="default" w:ascii="Times New Roman" w:hAnsi="Times New Roman" w:eastAsia="仿宋_GB2312" w:cs="Times New Roman"/>
                <w:color w:val="000000"/>
                <w:sz w:val="21"/>
                <w:szCs w:val="21"/>
                <w:highlight w:val="none"/>
                <w:lang w:val="en-US" w:eastAsia="zh-CN"/>
              </w:rPr>
              <w:t>40</w:t>
            </w:r>
          </w:p>
        </w:tc>
        <w:tc>
          <w:tcPr>
            <w:tcW w:w="1154" w:type="pct"/>
            <w:tcBorders>
              <w:top w:val="nil"/>
              <w:left w:val="nil"/>
              <w:bottom w:val="single" w:color="auto" w:sz="4" w:space="0"/>
              <w:right w:val="single" w:color="auto" w:sz="4" w:space="0"/>
            </w:tcBorders>
            <w:shd w:val="clear" w:color="auto" w:fill="auto"/>
            <w:vAlign w:val="center"/>
          </w:tcPr>
          <w:p w14:paraId="6F3CC7FC">
            <w:pPr>
              <w:jc w:val="center"/>
              <w:rPr>
                <w:rFonts w:hint="default" w:ascii="Times New Roman" w:hAnsi="Times New Roman" w:eastAsia="仿宋_GB2312" w:cs="Times New Roman"/>
                <w:color w:val="000000"/>
                <w:kern w:val="2"/>
                <w:sz w:val="21"/>
                <w:szCs w:val="21"/>
                <w:highlight w:val="none"/>
                <w:lang w:val="en-US" w:eastAsia="zh-CN" w:bidi="ar-SA"/>
              </w:rPr>
            </w:pPr>
            <w:r>
              <w:rPr>
                <w:rFonts w:hint="default" w:ascii="Times New Roman" w:hAnsi="Times New Roman" w:eastAsia="仿宋_GB2312" w:cs="Times New Roman"/>
                <w:color w:val="000000"/>
                <w:sz w:val="21"/>
                <w:szCs w:val="21"/>
                <w:highlight w:val="none"/>
                <w:lang w:val="en-US" w:eastAsia="zh-CN"/>
              </w:rPr>
              <w:t>40</w:t>
            </w:r>
          </w:p>
        </w:tc>
        <w:tc>
          <w:tcPr>
            <w:tcW w:w="1154" w:type="pct"/>
            <w:tcBorders>
              <w:top w:val="nil"/>
              <w:left w:val="nil"/>
              <w:bottom w:val="single" w:color="auto" w:sz="4" w:space="0"/>
              <w:right w:val="single" w:color="auto" w:sz="4" w:space="0"/>
            </w:tcBorders>
            <w:shd w:val="clear" w:color="auto" w:fill="auto"/>
            <w:vAlign w:val="center"/>
          </w:tcPr>
          <w:p w14:paraId="60AC4EC6">
            <w:pPr>
              <w:jc w:val="center"/>
              <w:rPr>
                <w:rFonts w:hint="default" w:ascii="Times New Roman" w:hAnsi="Times New Roman" w:eastAsia="仿宋_GB2312" w:cs="Times New Roman"/>
                <w:color w:val="000000"/>
                <w:kern w:val="2"/>
                <w:sz w:val="21"/>
                <w:szCs w:val="21"/>
                <w:highlight w:val="none"/>
                <w:lang w:val="en-US" w:eastAsia="zh-CN" w:bidi="ar-SA"/>
              </w:rPr>
            </w:pPr>
            <w:r>
              <w:rPr>
                <w:rFonts w:hint="default" w:ascii="Times New Roman" w:hAnsi="Times New Roman" w:eastAsia="仿宋_GB2312" w:cs="Times New Roman"/>
                <w:color w:val="000000"/>
                <w:sz w:val="21"/>
                <w:szCs w:val="21"/>
                <w:highlight w:val="none"/>
                <w:lang w:val="en-US" w:eastAsia="zh-CN"/>
              </w:rPr>
              <w:t>40</w:t>
            </w:r>
          </w:p>
        </w:tc>
      </w:tr>
      <w:tr w14:paraId="1AF0D2B7">
        <w:tblPrEx>
          <w:tblCellMar>
            <w:top w:w="0" w:type="dxa"/>
            <w:left w:w="108" w:type="dxa"/>
            <w:bottom w:w="0" w:type="dxa"/>
            <w:right w:w="108" w:type="dxa"/>
          </w:tblCellMar>
        </w:tblPrEx>
        <w:trPr>
          <w:trHeight w:val="340" w:hRule="atLeast"/>
          <w:jc w:val="center"/>
        </w:trPr>
        <w:tc>
          <w:tcPr>
            <w:tcW w:w="1590" w:type="pct"/>
            <w:tcBorders>
              <w:top w:val="nil"/>
              <w:left w:val="single" w:color="auto" w:sz="4" w:space="0"/>
              <w:bottom w:val="single" w:color="auto" w:sz="4" w:space="0"/>
              <w:right w:val="single" w:color="auto" w:sz="4" w:space="0"/>
            </w:tcBorders>
            <w:shd w:val="clear" w:color="auto" w:fill="auto"/>
            <w:vAlign w:val="center"/>
          </w:tcPr>
          <w:p w14:paraId="45C36318">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1099" w:type="pct"/>
            <w:tcBorders>
              <w:top w:val="nil"/>
              <w:left w:val="nil"/>
              <w:bottom w:val="single" w:color="auto" w:sz="4" w:space="0"/>
              <w:right w:val="single" w:color="auto" w:sz="4" w:space="0"/>
            </w:tcBorders>
            <w:shd w:val="clear" w:color="auto" w:fill="auto"/>
            <w:vAlign w:val="center"/>
          </w:tcPr>
          <w:p w14:paraId="2F0F35F0">
            <w:pPr>
              <w:jc w:val="center"/>
              <w:rPr>
                <w:rFonts w:hint="default" w:ascii="Times New Roman" w:hAnsi="Times New Roman" w:eastAsia="仿宋_GB2312" w:cs="Times New Roman"/>
                <w:color w:val="000000"/>
                <w:sz w:val="21"/>
                <w:szCs w:val="21"/>
                <w:highlight w:val="yellow"/>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1154" w:type="pct"/>
            <w:tcBorders>
              <w:top w:val="nil"/>
              <w:left w:val="nil"/>
              <w:bottom w:val="single" w:color="auto" w:sz="4" w:space="0"/>
              <w:right w:val="single" w:color="auto" w:sz="4" w:space="0"/>
            </w:tcBorders>
            <w:shd w:val="clear" w:color="auto" w:fill="auto"/>
            <w:vAlign w:val="center"/>
          </w:tcPr>
          <w:p w14:paraId="1776DF05">
            <w:pPr>
              <w:jc w:val="center"/>
              <w:rPr>
                <w:rFonts w:hint="default" w:ascii="Times New Roman" w:hAnsi="Times New Roman" w:eastAsia="仿宋_GB2312" w:cs="Times New Roman"/>
                <w:color w:val="000000"/>
                <w:kern w:val="2"/>
                <w:sz w:val="21"/>
                <w:szCs w:val="21"/>
                <w:highlight w:val="none"/>
                <w:lang w:val="en-US" w:eastAsia="zh-CN" w:bidi="ar-SA"/>
              </w:rPr>
            </w:pPr>
            <w:r>
              <w:rPr>
                <w:rFonts w:hint="default" w:ascii="Times New Roman" w:hAnsi="Times New Roman" w:eastAsia="仿宋_GB2312" w:cs="Times New Roman"/>
                <w:color w:val="000000"/>
                <w:sz w:val="21"/>
                <w:szCs w:val="21"/>
                <w:highlight w:val="none"/>
                <w:lang w:val="en-US" w:eastAsia="zh-CN"/>
              </w:rPr>
              <w:t>20</w:t>
            </w:r>
          </w:p>
        </w:tc>
        <w:tc>
          <w:tcPr>
            <w:tcW w:w="1154" w:type="pct"/>
            <w:tcBorders>
              <w:top w:val="nil"/>
              <w:left w:val="nil"/>
              <w:bottom w:val="single" w:color="auto" w:sz="4" w:space="0"/>
              <w:right w:val="single" w:color="auto" w:sz="4" w:space="0"/>
            </w:tcBorders>
            <w:shd w:val="clear" w:color="auto" w:fill="auto"/>
            <w:vAlign w:val="center"/>
          </w:tcPr>
          <w:p w14:paraId="1F715460">
            <w:pPr>
              <w:jc w:val="center"/>
              <w:rPr>
                <w:rFonts w:hint="default" w:ascii="Times New Roman" w:hAnsi="Times New Roman" w:eastAsia="仿宋_GB2312" w:cs="Times New Roman"/>
                <w:color w:val="000000"/>
                <w:kern w:val="2"/>
                <w:sz w:val="21"/>
                <w:szCs w:val="21"/>
                <w:highlight w:val="none"/>
                <w:lang w:val="en-US" w:eastAsia="zh-CN" w:bidi="ar-SA"/>
              </w:rPr>
            </w:pPr>
            <w:r>
              <w:rPr>
                <w:rFonts w:hint="default" w:ascii="Times New Roman" w:hAnsi="Times New Roman" w:eastAsia="仿宋_GB2312" w:cs="Times New Roman"/>
                <w:color w:val="000000"/>
                <w:sz w:val="21"/>
                <w:szCs w:val="21"/>
                <w:highlight w:val="none"/>
                <w:lang w:val="en-US" w:eastAsia="zh-CN"/>
              </w:rPr>
              <w:t>20</w:t>
            </w:r>
          </w:p>
        </w:tc>
      </w:tr>
      <w:tr w14:paraId="1E117260">
        <w:tblPrEx>
          <w:tblCellMar>
            <w:top w:w="0" w:type="dxa"/>
            <w:left w:w="108" w:type="dxa"/>
            <w:bottom w:w="0" w:type="dxa"/>
            <w:right w:w="108" w:type="dxa"/>
          </w:tblCellMar>
        </w:tblPrEx>
        <w:trPr>
          <w:trHeight w:val="340" w:hRule="atLeast"/>
          <w:jc w:val="center"/>
        </w:trPr>
        <w:tc>
          <w:tcPr>
            <w:tcW w:w="1590" w:type="pct"/>
            <w:tcBorders>
              <w:top w:val="nil"/>
              <w:left w:val="single" w:color="auto" w:sz="4" w:space="0"/>
              <w:bottom w:val="single" w:color="auto" w:sz="4" w:space="0"/>
              <w:right w:val="single" w:color="auto" w:sz="4" w:space="0"/>
            </w:tcBorders>
            <w:shd w:val="clear" w:color="auto" w:fill="auto"/>
            <w:vAlign w:val="center"/>
          </w:tcPr>
          <w:p w14:paraId="334A823A">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1099" w:type="pct"/>
            <w:tcBorders>
              <w:top w:val="nil"/>
              <w:left w:val="nil"/>
              <w:bottom w:val="single" w:color="auto" w:sz="4" w:space="0"/>
              <w:right w:val="single" w:color="auto" w:sz="4" w:space="0"/>
            </w:tcBorders>
            <w:shd w:val="clear" w:color="auto" w:fill="auto"/>
            <w:vAlign w:val="center"/>
          </w:tcPr>
          <w:p w14:paraId="672AFE79">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1154" w:type="pct"/>
            <w:tcBorders>
              <w:top w:val="nil"/>
              <w:left w:val="nil"/>
              <w:bottom w:val="single" w:color="auto" w:sz="4" w:space="0"/>
              <w:right w:val="single" w:color="auto" w:sz="4" w:space="0"/>
            </w:tcBorders>
            <w:shd w:val="clear" w:color="auto" w:fill="auto"/>
            <w:vAlign w:val="center"/>
          </w:tcPr>
          <w:p w14:paraId="49441720">
            <w:pPr>
              <w:jc w:val="center"/>
              <w:rPr>
                <w:rFonts w:hint="default" w:ascii="Times New Roman" w:hAnsi="Times New Roman" w:eastAsia="仿宋_GB2312" w:cs="Times New Roman"/>
                <w:b/>
                <w:bCs/>
                <w:color w:val="000000"/>
                <w:kern w:val="2"/>
                <w:sz w:val="21"/>
                <w:szCs w:val="21"/>
                <w:lang w:val="en-US" w:eastAsia="zh-CN" w:bidi="ar-SA"/>
              </w:rPr>
            </w:pPr>
            <w:r>
              <w:rPr>
                <w:rFonts w:hint="default" w:ascii="Times New Roman" w:hAnsi="Times New Roman" w:eastAsia="仿宋_GB2312" w:cs="Times New Roman"/>
                <w:b/>
                <w:bCs/>
                <w:color w:val="000000"/>
                <w:sz w:val="21"/>
                <w:szCs w:val="21"/>
                <w:lang w:val="en-US" w:eastAsia="zh-CN"/>
              </w:rPr>
              <w:t>100</w:t>
            </w:r>
          </w:p>
        </w:tc>
        <w:tc>
          <w:tcPr>
            <w:tcW w:w="1154" w:type="pct"/>
            <w:tcBorders>
              <w:top w:val="nil"/>
              <w:left w:val="nil"/>
              <w:bottom w:val="single" w:color="auto" w:sz="4" w:space="0"/>
              <w:right w:val="single" w:color="auto" w:sz="4" w:space="0"/>
            </w:tcBorders>
            <w:shd w:val="clear" w:color="auto" w:fill="auto"/>
            <w:vAlign w:val="center"/>
          </w:tcPr>
          <w:p w14:paraId="69B1C941">
            <w:pPr>
              <w:jc w:val="center"/>
              <w:rPr>
                <w:rFonts w:hint="default" w:ascii="Times New Roman" w:hAnsi="Times New Roman" w:eastAsia="仿宋_GB2312" w:cs="Times New Roman"/>
                <w:b/>
                <w:bCs/>
                <w:color w:val="000000"/>
                <w:kern w:val="2"/>
                <w:sz w:val="21"/>
                <w:szCs w:val="21"/>
                <w:lang w:val="en-US" w:eastAsia="zh-CN" w:bidi="ar-SA"/>
              </w:rPr>
            </w:pPr>
            <w:r>
              <w:rPr>
                <w:rFonts w:hint="default" w:ascii="Times New Roman" w:hAnsi="Times New Roman" w:eastAsia="仿宋_GB2312" w:cs="Times New Roman"/>
                <w:b/>
                <w:bCs/>
                <w:color w:val="000000"/>
                <w:sz w:val="21"/>
                <w:szCs w:val="21"/>
                <w:lang w:val="en-US" w:eastAsia="zh-CN"/>
              </w:rPr>
              <w:t>100</w:t>
            </w:r>
          </w:p>
        </w:tc>
      </w:tr>
    </w:tbl>
    <w:p w14:paraId="70F62D1C">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50E41E5C">
      <w:pPr>
        <w:pStyle w:val="10"/>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768DE3DA">
      <w:pPr>
        <w:shd w:val="clear"/>
        <w:spacing w:line="600" w:lineRule="exact"/>
        <w:ind w:firstLine="640" w:firstLineChars="200"/>
        <w:outlineLvl w:val="0"/>
        <w:rPr>
          <w:rFonts w:hint="default" w:ascii="Times New Roman" w:hAnsi="Times New Roman" w:eastAsia="仿宋_GB2312" w:cs="Times New Roman"/>
          <w:sz w:val="32"/>
          <w:szCs w:val="32"/>
          <w:highlight w:val="yellow"/>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w:t>
      </w: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val="en-US" w:eastAsia="zh-CN"/>
        </w:rPr>
        <w:t>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0D3B82D2">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546A8D9C">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497764CA">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52EDF22C">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4BA29DD9">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highlight w:val="none"/>
          <w:lang w:val="en-US" w:eastAsia="zh-CN"/>
        </w:rPr>
        <w:t>根据决算依据编制工作计划和经费预算，经过与部门项目分管领导沟通、筛选确定经费预算计划，确定最终预算方案。项目的审批文件、材料符合相关要求，项目事前经过必要的可行性研究、绩效评估、集体决策，</w:t>
      </w:r>
      <w:r>
        <w:rPr>
          <w:rFonts w:hint="default" w:ascii="Times New Roman" w:hAnsi="Times New Roman" w:eastAsia="仿宋_GB2312" w:cs="Times New Roman"/>
          <w:sz w:val="32"/>
          <w:szCs w:val="32"/>
          <w:lang w:val="en-US" w:eastAsia="zh-CN"/>
        </w:rPr>
        <w:t>保障了程序的规范性。</w:t>
      </w:r>
    </w:p>
    <w:p w14:paraId="5A9CF6C0">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7050F070">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1B562BB6">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788B39CA">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5B123CDC">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33A11470">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1C019F43">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626E1A37">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1F64AD4F">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4D66E1C6">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09A0F4A7">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6157180E">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62DC3616">
      <w:pPr>
        <w:shd w:val="clear"/>
        <w:spacing w:line="600" w:lineRule="exact"/>
        <w:ind w:firstLine="640" w:firstLineChars="200"/>
        <w:outlineLvl w:val="0"/>
        <w:rPr>
          <w:rFonts w:hint="default" w:ascii="Times New Roman" w:hAnsi="Times New Roman" w:eastAsia="仿宋_GB2312" w:cs="Times New Roman"/>
          <w:sz w:val="32"/>
          <w:szCs w:val="32"/>
          <w:highlight w:val="green"/>
          <w:lang w:eastAsia="zh-CN"/>
        </w:rPr>
      </w:pPr>
      <w:r>
        <w:rPr>
          <w:rFonts w:hint="default" w:ascii="Times New Roman" w:hAnsi="Times New Roman" w:eastAsia="仿宋_GB2312" w:cs="Times New Roman"/>
          <w:sz w:val="32"/>
          <w:szCs w:val="32"/>
          <w:lang w:val="en-US"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76B06F90">
      <w:pPr>
        <w:pStyle w:val="10"/>
        <w:numPr>
          <w:ilvl w:val="0"/>
          <w:numId w:val="3"/>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14:paraId="10C9CA3D">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w:t>
      </w:r>
      <w:r>
        <w:rPr>
          <w:rFonts w:hint="default" w:ascii="Times New Roman" w:hAnsi="Times New Roman" w:eastAsia="仿宋_GB2312" w:cs="Times New Roman"/>
          <w:sz w:val="32"/>
          <w:szCs w:val="32"/>
          <w:lang w:val="en-US" w:eastAsia="zh-CN"/>
        </w:rPr>
        <w:t>三级指标构成，权重分值为20分，实际得分</w:t>
      </w:r>
      <w:r>
        <w:rPr>
          <w:rFonts w:hint="eastAsia"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p>
    <w:p w14:paraId="348574CD">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290DB0EB">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7BEFCB07">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本项目总投资</w:t>
      </w:r>
      <w:r>
        <w:rPr>
          <w:rFonts w:hint="eastAsia"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万元，财政资金及时足额到位，到位率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%，预算资金按计划进度执行。</w:t>
      </w:r>
    </w:p>
    <w:p w14:paraId="2DFB9072">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79A1A397">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预算编制较为详细，项目资金支出总体能够按照预算执行，预算资金支出</w:t>
      </w:r>
      <w:r>
        <w:rPr>
          <w:rFonts w:hint="eastAsia"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万元，预算执行率为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p>
    <w:p w14:paraId="68A681F4">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2F2DAC77">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本项目的资金使用严格遵循了</w:t>
      </w:r>
      <w:r>
        <w:rPr>
          <w:rFonts w:hint="eastAsia" w:ascii="Times New Roman" w:hAnsi="Times New Roman" w:eastAsia="仿宋_GB2312" w:cs="Times New Roman"/>
          <w:sz w:val="32"/>
          <w:szCs w:val="32"/>
          <w:lang w:val="en-US" w:eastAsia="zh-CN"/>
        </w:rPr>
        <w:t>《</w:t>
      </w:r>
      <w:bookmarkStart w:id="0" w:name="_Toc17369"/>
      <w:r>
        <w:rPr>
          <w:rFonts w:hint="eastAsia" w:ascii="Times New Roman" w:hAnsi="Times New Roman" w:eastAsia="仿宋_GB2312" w:cs="Times New Roman"/>
          <w:sz w:val="32"/>
          <w:szCs w:val="32"/>
          <w:lang w:val="en-US" w:eastAsia="zh-CN"/>
        </w:rPr>
        <w:t>达坂城区</w:t>
      </w:r>
      <w:r>
        <w:rPr>
          <w:rFonts w:hint="eastAsia" w:eastAsia="仿宋_GB2312" w:cs="Times New Roman"/>
          <w:sz w:val="32"/>
          <w:szCs w:val="32"/>
          <w:lang w:val="en-US" w:eastAsia="zh-CN"/>
        </w:rPr>
        <w:t>委党校</w:t>
      </w:r>
      <w:r>
        <w:rPr>
          <w:rFonts w:hint="eastAsia" w:ascii="Times New Roman" w:hAnsi="Times New Roman" w:eastAsia="仿宋_GB2312" w:cs="Times New Roman"/>
          <w:sz w:val="32"/>
          <w:szCs w:val="32"/>
          <w:lang w:val="en-US" w:eastAsia="zh-CN"/>
        </w:rPr>
        <w:t>财务审批管理制度</w:t>
      </w:r>
      <w:bookmarkEnd w:id="0"/>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，确保了资金的合规性与安全性。在资金使用过程中，我们建立了完善的财务管理体系，对资金的流动进行了全程监控与记录。</w:t>
      </w:r>
    </w:p>
    <w:p w14:paraId="6982EE13">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1EEEFFC3">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6A02A652">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14:paraId="26449666">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3A6A0666">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本项目拥有一套完善、健全的管理制度体系，</w:t>
      </w:r>
      <w:r>
        <w:rPr>
          <w:rFonts w:hint="eastAsia" w:ascii="Times New Roman" w:hAnsi="Times New Roman" w:eastAsia="仿宋_GB2312" w:cs="Times New Roman"/>
          <w:sz w:val="32"/>
          <w:szCs w:val="32"/>
          <w:lang w:val="en-US" w:eastAsia="zh-CN"/>
        </w:rPr>
        <w:t>《达坂城区</w:t>
      </w:r>
      <w:r>
        <w:rPr>
          <w:rFonts w:hint="eastAsia" w:eastAsia="仿宋_GB2312" w:cs="Times New Roman"/>
          <w:sz w:val="32"/>
          <w:szCs w:val="32"/>
          <w:lang w:val="en-US" w:eastAsia="zh-CN"/>
        </w:rPr>
        <w:t>委党校</w:t>
      </w:r>
      <w:r>
        <w:rPr>
          <w:rFonts w:hint="eastAsia" w:ascii="Times New Roman" w:hAnsi="Times New Roman" w:eastAsia="仿宋_GB2312" w:cs="Times New Roman"/>
          <w:sz w:val="32"/>
          <w:szCs w:val="32"/>
          <w:lang w:val="en-US" w:eastAsia="zh-CN"/>
        </w:rPr>
        <w:t>财务审批管理制度》，</w:t>
      </w:r>
      <w:r>
        <w:rPr>
          <w:rFonts w:hint="default" w:ascii="Times New Roman" w:hAnsi="Times New Roman" w:eastAsia="仿宋_GB2312" w:cs="Times New Roman"/>
          <w:sz w:val="32"/>
          <w:szCs w:val="32"/>
          <w:lang w:val="en-US" w:eastAsia="zh-CN"/>
        </w:rPr>
        <w:t>为项目的成功实施提供了坚实的制度保障。项目管理制度的制定紧密结合了项目的特点与实际情况，涵盖了项目的策划、组织、实施、监控与收尾等各个环节。</w:t>
      </w:r>
    </w:p>
    <w:p w14:paraId="584A1DFD">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在制度设计上，我们注重了制度的科学性与可操作性，确保制度能够切实指导项目的执行与管理。</w:t>
      </w:r>
    </w:p>
    <w:p w14:paraId="5F6BFEF9">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440B1374">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150E812A">
      <w:pPr>
        <w:numPr>
          <w:ilvl w:val="0"/>
          <w:numId w:val="4"/>
        </w:num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制度执行有效性</w:t>
      </w:r>
    </w:p>
    <w:p w14:paraId="3C68E47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336D521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5262B9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2B2250EB">
      <w:pPr>
        <w:pStyle w:val="12"/>
        <w:numPr>
          <w:ilvl w:val="0"/>
          <w:numId w:val="3"/>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5C3E7090">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个三级指标构成，权重分为40分，实际得分</w:t>
      </w:r>
      <w:r>
        <w:rPr>
          <w:rFonts w:hint="eastAsia" w:ascii="Times New Roman" w:hAnsi="Times New Roman" w:eastAsia="仿宋_GB2312" w:cs="Times New Roman"/>
          <w:sz w:val="32"/>
          <w:szCs w:val="32"/>
          <w:lang w:val="en-US" w:eastAsia="zh-CN"/>
        </w:rPr>
        <w:t>40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%。具体产出指标完成情况如下：</w:t>
      </w:r>
    </w:p>
    <w:p w14:paraId="29958EE4">
      <w:pPr>
        <w:shd w:val="clear"/>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0F601A9C">
      <w:pPr>
        <w:shd w:val="clear"/>
        <w:spacing w:line="600" w:lineRule="exact"/>
        <w:ind w:firstLine="640" w:firstLineChars="200"/>
        <w:outlineLvl w:val="0"/>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指标1：党校房屋修缮面积，指标值：</w:t>
      </w:r>
      <w:r>
        <w:rPr>
          <w:rFonts w:hint="eastAsia" w:eastAsia="仿宋_GB2312" w:cs="Times New Roman"/>
          <w:sz w:val="32"/>
          <w:szCs w:val="32"/>
          <w:highlight w:val="none"/>
          <w:lang w:val="en-US" w:eastAsia="zh-CN"/>
        </w:rPr>
        <w:t>≥40平方米</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40平方米</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完成40平方米房屋修缮改造工作，将附属楼一楼9间餐厅改造为客房，将学员宿舍楼入口门厅新增隔。</w:t>
      </w:r>
    </w:p>
    <w:p w14:paraId="1694FCFB">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151F0D22">
      <w:pPr>
        <w:shd w:val="clear"/>
        <w:spacing w:line="600" w:lineRule="exact"/>
        <w:ind w:firstLine="640" w:firstLineChars="200"/>
        <w:outlineLvl w:val="0"/>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指标1：竣工验收合格率，指标值：</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111.11</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工程实施完毕及验收后，施工单位按现场发生的工作内容编报工程结算书，验收合格。</w:t>
      </w:r>
    </w:p>
    <w:p w14:paraId="44807433">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016C6D17">
      <w:pPr>
        <w:shd w:val="clear"/>
        <w:spacing w:line="600" w:lineRule="exact"/>
        <w:ind w:firstLine="640" w:firstLineChars="200"/>
        <w:outlineLvl w:val="0"/>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项目按计划开工时间</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=3月前</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3月前</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本工程根据达坂城区委党校公共服务建设项目竣工结算审核报告及合同，按照合同开工日期及实际日期开工。</w:t>
      </w:r>
    </w:p>
    <w:p w14:paraId="61AEC32D">
      <w:pPr>
        <w:shd w:val="clear"/>
        <w:spacing w:line="600" w:lineRule="exact"/>
        <w:ind w:firstLine="640" w:firstLineChars="200"/>
        <w:outlineLvl w:val="0"/>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：项目按计划完工时间，指标值：</w:t>
      </w:r>
      <w:r>
        <w:rPr>
          <w:rFonts w:hint="eastAsia" w:eastAsia="仿宋_GB2312" w:cs="Times New Roman"/>
          <w:sz w:val="32"/>
          <w:szCs w:val="32"/>
          <w:highlight w:val="none"/>
          <w:lang w:val="en-US" w:eastAsia="zh-CN"/>
        </w:rPr>
        <w:t>=11月前</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11月前</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本工程根据达坂城区委党校公共服务建设项目竣工结算审核报告及合同，按照合同开工日期及实际日期完工。</w:t>
      </w:r>
    </w:p>
    <w:p w14:paraId="64355250">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14:paraId="6180F92D">
      <w:pPr>
        <w:shd w:val="clear"/>
        <w:spacing w:line="600" w:lineRule="exact"/>
        <w:ind w:firstLine="640" w:firstLineChars="200"/>
        <w:outlineLvl w:val="0"/>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修缮产生费用</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≤5万元</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万元，指标完成率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r>
        <w:rPr>
          <w:rFonts w:hint="eastAsia" w:ascii="Times New Roman" w:hAnsi="Times New Roman" w:eastAsia="仿宋_GB2312" w:cs="Times New Roman"/>
          <w:kern w:val="2"/>
          <w:sz w:val="32"/>
          <w:szCs w:val="32"/>
          <w:highlight w:val="none"/>
          <w:lang w:val="en-US" w:eastAsia="zh-CN" w:bidi="ar-SA"/>
        </w:rPr>
        <w:t>本项目实际支出</w:t>
      </w:r>
      <w:r>
        <w:rPr>
          <w:rFonts w:hint="eastAsia" w:eastAsia="仿宋_GB2312" w:cs="Times New Roman"/>
          <w:kern w:val="2"/>
          <w:sz w:val="32"/>
          <w:szCs w:val="32"/>
          <w:highlight w:val="none"/>
          <w:lang w:val="en-US" w:eastAsia="zh-CN" w:bidi="ar-SA"/>
        </w:rPr>
        <w:t>5</w:t>
      </w:r>
      <w:r>
        <w:rPr>
          <w:rFonts w:hint="eastAsia" w:ascii="Times New Roman" w:hAnsi="Times New Roman" w:eastAsia="仿宋_GB2312" w:cs="Times New Roman"/>
          <w:kern w:val="2"/>
          <w:sz w:val="32"/>
          <w:szCs w:val="32"/>
          <w:highlight w:val="none"/>
          <w:lang w:val="en-US" w:eastAsia="zh-CN" w:bidi="ar-SA"/>
        </w:rPr>
        <w:t>万元，无超支情况，项目资金全部完成</w:t>
      </w:r>
      <w:r>
        <w:rPr>
          <w:rFonts w:hint="eastAsia" w:eastAsia="仿宋_GB2312" w:cs="Times New Roman"/>
          <w:kern w:val="2"/>
          <w:sz w:val="32"/>
          <w:szCs w:val="32"/>
          <w:highlight w:val="none"/>
          <w:lang w:val="en-US" w:eastAsia="zh-CN" w:bidi="ar-SA"/>
        </w:rPr>
        <w:t>。</w:t>
      </w:r>
    </w:p>
    <w:p w14:paraId="030F6C36">
      <w:pPr>
        <w:pStyle w:val="12"/>
        <w:numPr>
          <w:ilvl w:val="0"/>
          <w:numId w:val="3"/>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1F3F1CD8">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个三级指标构成，权重分为</w:t>
      </w: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0分，实际得分</w:t>
      </w:r>
      <w:r>
        <w:rPr>
          <w:rFonts w:hint="eastAsia"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%。具体效益指标及满意度指标完成情况如下：</w:t>
      </w:r>
    </w:p>
    <w:p w14:paraId="533D8368">
      <w:pPr>
        <w:numPr>
          <w:ilvl w:val="0"/>
          <w:numId w:val="0"/>
        </w:num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实施效益</w:t>
      </w:r>
    </w:p>
    <w:p w14:paraId="7AE7C806">
      <w:pPr>
        <w:numPr>
          <w:ilvl w:val="0"/>
          <w:numId w:val="0"/>
        </w:num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eastAsia" w:ascii="仿宋_GB2312" w:hAnsi="仿宋_GB2312" w:eastAsia="仿宋_GB2312" w:cs="仿宋_GB2312"/>
          <w:sz w:val="32"/>
          <w:szCs w:val="32"/>
          <w:lang w:val="en-US" w:eastAsia="zh-CN"/>
        </w:rPr>
        <w:t>社会效益指标：</w:t>
      </w:r>
    </w:p>
    <w:p w14:paraId="074D2EDE">
      <w:pPr>
        <w:shd w:val="clear"/>
        <w:spacing w:line="600" w:lineRule="exact"/>
        <w:ind w:firstLine="640" w:firstLineChars="200"/>
        <w:outlineLvl w:val="0"/>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改善学员培训环境</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有效改善</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完全达到预期</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通过修缮和改造附属楼、学员之家、学员宿舍楼，为学员和教职工提供良好的办公环境和学习环境，为干部教育培训提供了更优质，高效的学习平台，提升了党校的基础设施，优化了功能布局，提升了使用便利性。</w:t>
      </w:r>
    </w:p>
    <w:p w14:paraId="5B2C5D42">
      <w:pPr>
        <w:numPr>
          <w:ilvl w:val="0"/>
          <w:numId w:val="0"/>
        </w:num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2.满意度</w:t>
      </w:r>
    </w:p>
    <w:p w14:paraId="545B5E55">
      <w:pPr>
        <w:pStyle w:val="3"/>
        <w:ind w:firstLine="640" w:firstLineChars="200"/>
        <w:rPr>
          <w:rFonts w:hint="eastAsia" w:ascii="仿宋_GB2312" w:hAnsi="仿宋_GB2312" w:eastAsia="仿宋_GB2312" w:cs="仿宋_GB2312"/>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ascii="Times New Roman" w:hAnsi="Times New Roman" w:eastAsia="仿宋_GB2312" w:cs="Times New Roman"/>
          <w:sz w:val="32"/>
          <w:szCs w:val="32"/>
          <w:highlight w:val="none"/>
          <w:lang w:eastAsia="zh-CN"/>
        </w:rPr>
        <w:t>：培训学员满意率，</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r>
        <w:rPr>
          <w:rFonts w:hint="eastAsia" w:ascii="Times New Roman" w:hAnsi="Times New Roman" w:eastAsia="仿宋_GB2312" w:cs="Times New Roman"/>
          <w:kern w:val="2"/>
          <w:sz w:val="32"/>
          <w:szCs w:val="32"/>
          <w:highlight w:val="none"/>
          <w:lang w:val="en-US" w:eastAsia="zh-CN" w:bidi="ar-SA"/>
        </w:rPr>
        <w:t>通过设置</w:t>
      </w:r>
      <w:r>
        <w:rPr>
          <w:rFonts w:hint="eastAsia" w:eastAsia="仿宋_GB2312" w:cs="Times New Roman"/>
          <w:kern w:val="2"/>
          <w:sz w:val="32"/>
          <w:szCs w:val="32"/>
          <w:highlight w:val="none"/>
          <w:lang w:val="en-US" w:eastAsia="zh-CN" w:bidi="ar-SA"/>
        </w:rPr>
        <w:t>学员</w:t>
      </w:r>
      <w:r>
        <w:rPr>
          <w:rFonts w:hint="eastAsia" w:ascii="Times New Roman" w:hAnsi="Times New Roman" w:eastAsia="仿宋_GB2312" w:cs="Times New Roman"/>
          <w:kern w:val="2"/>
          <w:sz w:val="32"/>
          <w:szCs w:val="32"/>
          <w:highlight w:val="none"/>
          <w:lang w:val="en-US" w:eastAsia="zh-CN" w:bidi="ar-SA"/>
        </w:rPr>
        <w:t>问卷调查的方式进行考评评价，共计调查样本总量为</w:t>
      </w:r>
      <w:r>
        <w:rPr>
          <w:rFonts w:hint="eastAsia" w:eastAsia="仿宋_GB2312" w:cs="Times New Roman"/>
          <w:kern w:val="2"/>
          <w:sz w:val="32"/>
          <w:szCs w:val="32"/>
          <w:highlight w:val="none"/>
          <w:lang w:val="en-US" w:eastAsia="zh-CN" w:bidi="ar-SA"/>
        </w:rPr>
        <w:t>30</w:t>
      </w:r>
      <w:r>
        <w:rPr>
          <w:rFonts w:hint="eastAsia" w:ascii="Times New Roman" w:hAnsi="Times New Roman" w:eastAsia="仿宋_GB2312" w:cs="Times New Roman"/>
          <w:kern w:val="2"/>
          <w:sz w:val="32"/>
          <w:szCs w:val="32"/>
          <w:highlight w:val="none"/>
          <w:lang w:val="en-US" w:eastAsia="zh-CN" w:bidi="ar-SA"/>
        </w:rPr>
        <w:t>个样本，有效调查问卷</w:t>
      </w:r>
      <w:r>
        <w:rPr>
          <w:rFonts w:hint="eastAsia" w:eastAsia="仿宋_GB2312" w:cs="Times New Roman"/>
          <w:kern w:val="2"/>
          <w:sz w:val="32"/>
          <w:szCs w:val="32"/>
          <w:highlight w:val="none"/>
          <w:lang w:val="en-US" w:eastAsia="zh-CN" w:bidi="ar-SA"/>
        </w:rPr>
        <w:t>30</w:t>
      </w:r>
      <w:r>
        <w:rPr>
          <w:rFonts w:hint="eastAsia" w:ascii="Times New Roman" w:hAnsi="Times New Roman" w:eastAsia="仿宋_GB2312" w:cs="Times New Roman"/>
          <w:kern w:val="2"/>
          <w:sz w:val="32"/>
          <w:szCs w:val="32"/>
          <w:highlight w:val="none"/>
          <w:lang w:val="en-US" w:eastAsia="zh-CN" w:bidi="ar-SA"/>
        </w:rPr>
        <w:t>份。其中，统计</w:t>
      </w:r>
      <w:r>
        <w:rPr>
          <w:rFonts w:hint="eastAsia" w:eastAsia="仿宋_GB2312" w:cs="Times New Roman"/>
          <w:kern w:val="2"/>
          <w:sz w:val="32"/>
          <w:szCs w:val="32"/>
          <w:highlight w:val="none"/>
          <w:lang w:val="en-US" w:eastAsia="zh-CN" w:bidi="ar-SA"/>
        </w:rPr>
        <w:t>30份</w:t>
      </w:r>
      <w:r>
        <w:rPr>
          <w:rFonts w:hint="eastAsia" w:ascii="Times New Roman" w:hAnsi="Times New Roman" w:eastAsia="仿宋_GB2312" w:cs="Times New Roman"/>
          <w:kern w:val="2"/>
          <w:sz w:val="32"/>
          <w:szCs w:val="32"/>
          <w:highlight w:val="none"/>
          <w:lang w:val="en-US" w:eastAsia="zh-CN" w:bidi="ar-SA"/>
        </w:rPr>
        <w:t>的平均值为</w:t>
      </w:r>
      <w:r>
        <w:rPr>
          <w:rFonts w:hint="eastAsia" w:eastAsia="仿宋_GB2312" w:cs="Times New Roman"/>
          <w:kern w:val="2"/>
          <w:sz w:val="32"/>
          <w:szCs w:val="32"/>
          <w:highlight w:val="none"/>
          <w:lang w:val="en-US" w:eastAsia="zh-CN" w:bidi="ar-SA"/>
        </w:rPr>
        <w:t>90</w:t>
      </w:r>
      <w:r>
        <w:rPr>
          <w:rFonts w:hint="eastAsia" w:ascii="Times New Roman" w:hAnsi="Times New Roman" w:eastAsia="仿宋_GB2312" w:cs="Times New Roman"/>
          <w:kern w:val="2"/>
          <w:sz w:val="32"/>
          <w:szCs w:val="32"/>
          <w:highlight w:val="none"/>
          <w:lang w:val="en-US" w:eastAsia="zh-CN" w:bidi="ar-SA"/>
        </w:rPr>
        <w:t>%。</w:t>
      </w:r>
    </w:p>
    <w:p w14:paraId="4E8E84AD">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14:paraId="34E80D82">
      <w:pPr>
        <w:pStyle w:val="19"/>
        <w:spacing w:line="560" w:lineRule="exact"/>
        <w:ind w:firstLine="64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val="en-US" w:eastAsia="zh-CN"/>
        </w:rPr>
        <w:t>2023年本级追加，达党财纪字〔2023〕1号，追加党校公共服务建设项目年初预算5</w:t>
      </w:r>
      <w:r>
        <w:rPr>
          <w:rFonts w:hint="default" w:ascii="Times New Roman" w:hAnsi="Times New Roman" w:eastAsia="仿宋_GB2312" w:cs="Times New Roman"/>
          <w:sz w:val="32"/>
          <w:szCs w:val="32"/>
          <w:highlight w:val="none"/>
        </w:rPr>
        <w:t>万元，全年预算</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万元，实际支出</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万元，</w:t>
      </w:r>
      <w:r>
        <w:rPr>
          <w:rFonts w:hint="default" w:ascii="Times New Roman" w:hAnsi="Times New Roman" w:eastAsia="仿宋_GB2312" w:cs="Times New Roman"/>
          <w:kern w:val="2"/>
          <w:sz w:val="32"/>
          <w:szCs w:val="32"/>
          <w:highlight w:val="none"/>
          <w:lang w:val="en-US" w:eastAsia="zh-CN" w:bidi="ar-SA"/>
        </w:rPr>
        <w:t>预算执行率为100</w:t>
      </w:r>
      <w:r>
        <w:rPr>
          <w:rFonts w:hint="default" w:ascii="Times New Roman" w:hAnsi="Times New Roman" w:eastAsia="仿宋_GB2312" w:cs="Times New Roman"/>
          <w:sz w:val="32"/>
          <w:szCs w:val="32"/>
          <w:highlight w:val="none"/>
          <w:lang w:val="en-US" w:eastAsia="zh-CN"/>
        </w:rPr>
        <w:t>%，项</w:t>
      </w:r>
      <w:r>
        <w:rPr>
          <w:rFonts w:hint="default" w:ascii="Times New Roman" w:hAnsi="Times New Roman" w:eastAsia="仿宋_GB2312" w:cs="Times New Roman"/>
          <w:kern w:val="2"/>
          <w:sz w:val="32"/>
          <w:szCs w:val="32"/>
          <w:highlight w:val="none"/>
          <w:lang w:val="en-US" w:eastAsia="zh-CN" w:bidi="ar-SA"/>
        </w:rPr>
        <w:t>目绩效指标总体完成率为10</w:t>
      </w:r>
      <w:r>
        <w:rPr>
          <w:rFonts w:hint="eastAsia" w:ascii="Times New Roman" w:hAnsi="Times New Roman" w:eastAsia="仿宋_GB2312" w:cs="Times New Roman"/>
          <w:kern w:val="2"/>
          <w:sz w:val="32"/>
          <w:szCs w:val="32"/>
          <w:highlight w:val="none"/>
          <w:lang w:val="en-US" w:eastAsia="zh-CN" w:bidi="ar-SA"/>
        </w:rPr>
        <w:t>1.6</w:t>
      </w:r>
      <w:r>
        <w:rPr>
          <w:rFonts w:hint="default"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sz w:val="32"/>
          <w:szCs w:val="32"/>
          <w:highlight w:val="none"/>
          <w:lang w:eastAsia="zh-Hans"/>
        </w:rPr>
        <w:t>总体</w:t>
      </w:r>
      <w:r>
        <w:rPr>
          <w:rFonts w:hint="default" w:ascii="Times New Roman" w:hAnsi="Times New Roman" w:eastAsia="仿宋_GB2312" w:cs="Times New Roman"/>
          <w:sz w:val="32"/>
          <w:szCs w:val="32"/>
          <w:highlight w:val="none"/>
        </w:rPr>
        <w:t>偏差率为</w:t>
      </w:r>
      <w:r>
        <w:rPr>
          <w:rFonts w:hint="eastAsia" w:ascii="Times New Roman" w:hAnsi="Times New Roman" w:eastAsia="仿宋_GB2312" w:cs="Times New Roman"/>
          <w:sz w:val="32"/>
          <w:szCs w:val="32"/>
          <w:highlight w:val="none"/>
          <w:lang w:val="en-US" w:eastAsia="zh-CN"/>
        </w:rPr>
        <w:t>1.6</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kern w:val="2"/>
          <w:sz w:val="32"/>
          <w:szCs w:val="32"/>
          <w:highlight w:val="none"/>
          <w:lang w:val="en-US" w:eastAsia="zh-CN" w:bidi="ar-SA"/>
        </w:rPr>
        <w:t>。</w:t>
      </w:r>
      <w:bookmarkStart w:id="4" w:name="_GoBack"/>
      <w:bookmarkEnd w:id="4"/>
    </w:p>
    <w:p w14:paraId="5DED8768">
      <w:pPr>
        <w:spacing w:line="560" w:lineRule="exact"/>
        <w:ind w:firstLine="640" w:firstLineChars="200"/>
        <w:rPr>
          <w:rStyle w:val="18"/>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黑体" w:cs="Times New Roman"/>
          <w:sz w:val="32"/>
          <w:szCs w:val="32"/>
        </w:rPr>
        <w:t>主要经验及做法、存在的问题及原因分析</w:t>
      </w:r>
    </w:p>
    <w:p w14:paraId="5F9FADCA">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5A952AAD">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174F8995">
      <w:pPr>
        <w:pStyle w:val="10"/>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46599967">
      <w:pPr>
        <w:keepNext/>
        <w:keepLines/>
        <w:numPr>
          <w:ilvl w:val="0"/>
          <w:numId w:val="5"/>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44EA5BC5">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581D1A14">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六、</w:t>
      </w:r>
      <w:r>
        <w:rPr>
          <w:rFonts w:hint="default" w:ascii="Times New Roman" w:hAnsi="Times New Roman" w:eastAsia="黑体" w:cs="Times New Roman"/>
          <w:sz w:val="32"/>
          <w:szCs w:val="32"/>
        </w:rPr>
        <w:t>有关建议</w:t>
      </w:r>
    </w:p>
    <w:p w14:paraId="5E3DE754">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多进行有关绩效管理工作方面的培训。积极组织第三方开展绩效管理工作培训，进一步夯实业务基础，提高我单位绩效人员水平。</w:t>
      </w:r>
    </w:p>
    <w:p w14:paraId="3AB05DC2">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黑体" w:cs="Times New Roman"/>
          <w:sz w:val="32"/>
          <w:szCs w:val="32"/>
        </w:rPr>
        <w:t>其他需要说</w:t>
      </w:r>
      <w:bookmarkStart w:id="1" w:name="page8"/>
      <w:bookmarkEnd w:id="1"/>
      <w:r>
        <w:rPr>
          <w:rFonts w:hint="default" w:ascii="Times New Roman" w:hAnsi="Times New Roman" w:eastAsia="黑体" w:cs="Times New Roman"/>
          <w:sz w:val="32"/>
          <w:szCs w:val="32"/>
        </w:rPr>
        <w:t>明的问题</w:t>
      </w:r>
    </w:p>
    <w:p w14:paraId="6D8EE883">
      <w:pPr>
        <w:pStyle w:val="3"/>
        <w:ind w:firstLine="640" w:firstLineChars="200"/>
        <w:rPr>
          <w:rFonts w:hint="eastAsia" w:eastAsia="仿宋_GB2312" w:cs="Times New Roman"/>
          <w:kern w:val="2"/>
          <w:sz w:val="32"/>
          <w:szCs w:val="32"/>
          <w:highlight w:val="none"/>
          <w:lang w:val="en-US" w:eastAsia="zh-CN" w:bidi="ar-SA"/>
        </w:rPr>
      </w:pPr>
      <w:r>
        <w:rPr>
          <w:rFonts w:hint="eastAsia" w:eastAsia="仿宋_GB2312" w:cs="Times New Roman"/>
          <w:kern w:val="2"/>
          <w:sz w:val="32"/>
          <w:szCs w:val="32"/>
          <w:highlight w:val="none"/>
          <w:lang w:val="en-US" w:eastAsia="zh-CN" w:bidi="ar-SA"/>
        </w:rPr>
        <w:t>1.</w:t>
      </w:r>
      <w:r>
        <w:rPr>
          <w:rFonts w:hint="eastAsia" w:ascii="Times New Roman" w:hAnsi="Times New Roman" w:eastAsia="仿宋_GB2312" w:cs="Times New Roman"/>
          <w:kern w:val="2"/>
          <w:sz w:val="32"/>
          <w:szCs w:val="32"/>
          <w:highlight w:val="none"/>
          <w:lang w:val="en-US" w:eastAsia="zh-CN" w:bidi="ar-SA"/>
        </w:rPr>
        <w:t>项目支出的政策和路径设置科学，</w:t>
      </w:r>
      <w:r>
        <w:rPr>
          <w:rFonts w:hint="eastAsia" w:eastAsia="仿宋_GB2312" w:cs="Times New Roman"/>
          <w:kern w:val="2"/>
          <w:sz w:val="32"/>
          <w:szCs w:val="32"/>
          <w:highlight w:val="none"/>
          <w:lang w:val="en-US" w:eastAsia="zh-CN" w:bidi="ar-SA"/>
        </w:rPr>
        <w:t>符合实际需要；</w:t>
      </w:r>
    </w:p>
    <w:p w14:paraId="7C5B01FD">
      <w:pPr>
        <w:pStyle w:val="3"/>
        <w:ind w:firstLine="640" w:firstLineChars="200"/>
        <w:rPr>
          <w:rFonts w:hint="eastAsia" w:eastAsia="仿宋_GB2312" w:cs="Times New Roman"/>
          <w:kern w:val="2"/>
          <w:sz w:val="32"/>
          <w:szCs w:val="32"/>
          <w:highlight w:val="none"/>
          <w:lang w:val="en-US" w:eastAsia="zh-CN" w:bidi="ar-SA"/>
        </w:rPr>
      </w:pPr>
      <w:r>
        <w:rPr>
          <w:rFonts w:hint="eastAsia" w:eastAsia="仿宋_GB2312" w:cs="Times New Roman"/>
          <w:kern w:val="2"/>
          <w:sz w:val="32"/>
          <w:szCs w:val="32"/>
          <w:highlight w:val="none"/>
          <w:lang w:val="en-US" w:eastAsia="zh-CN" w:bidi="ar-SA"/>
        </w:rPr>
        <w:t>2.项目安排准确，未发现背离项目立项初衷的情况；</w:t>
      </w:r>
    </w:p>
    <w:p w14:paraId="7580AF26">
      <w:pPr>
        <w:pStyle w:val="3"/>
        <w:ind w:firstLine="640" w:firstLineChars="200"/>
        <w:rPr>
          <w:rFonts w:hint="eastAsia" w:eastAsia="仿宋_GB2312" w:cs="Times New Roman"/>
          <w:kern w:val="2"/>
          <w:sz w:val="32"/>
          <w:szCs w:val="32"/>
          <w:highlight w:val="none"/>
          <w:lang w:val="en-US" w:eastAsia="zh-CN" w:bidi="ar-SA"/>
        </w:rPr>
      </w:pPr>
      <w:r>
        <w:rPr>
          <w:rFonts w:hint="eastAsia" w:eastAsia="仿宋_GB2312" w:cs="Times New Roman"/>
          <w:kern w:val="2"/>
          <w:sz w:val="32"/>
          <w:szCs w:val="32"/>
          <w:highlight w:val="none"/>
          <w:lang w:val="en-US" w:eastAsia="zh-CN" w:bidi="ar-SA"/>
        </w:rPr>
        <w:t>3.</w:t>
      </w:r>
      <w:r>
        <w:rPr>
          <w:rFonts w:hint="eastAsia" w:ascii="Times New Roman" w:hAnsi="Times New Roman" w:eastAsia="仿宋_GB2312" w:cs="Times New Roman"/>
          <w:kern w:val="2"/>
          <w:sz w:val="32"/>
          <w:szCs w:val="32"/>
          <w:highlight w:val="none"/>
          <w:lang w:val="en-US" w:eastAsia="zh-CN" w:bidi="ar-SA"/>
        </w:rPr>
        <w:t>项目的申报和审核机制完善</w:t>
      </w:r>
      <w:r>
        <w:rPr>
          <w:rFonts w:hint="eastAsia" w:eastAsia="仿宋_GB2312" w:cs="Times New Roman"/>
          <w:kern w:val="2"/>
          <w:sz w:val="32"/>
          <w:szCs w:val="32"/>
          <w:highlight w:val="none"/>
          <w:lang w:val="en-US" w:eastAsia="zh-CN" w:bidi="ar-SA"/>
        </w:rPr>
        <w:t>；</w:t>
      </w:r>
    </w:p>
    <w:p w14:paraId="79374053">
      <w:pPr>
        <w:pStyle w:val="3"/>
        <w:ind w:firstLine="640" w:firstLineChars="200"/>
        <w:rPr>
          <w:rFonts w:hint="default" w:ascii="Times New Roman" w:hAnsi="Times New Roman" w:eastAsia="仿宋_GB2312" w:cs="Times New Roman"/>
          <w:kern w:val="2"/>
          <w:sz w:val="32"/>
          <w:szCs w:val="32"/>
          <w:highlight w:val="none"/>
          <w:lang w:val="en-US" w:eastAsia="zh-CN" w:bidi="ar-SA"/>
        </w:rPr>
      </w:pPr>
      <w:r>
        <w:rPr>
          <w:rFonts w:hint="eastAsia" w:eastAsia="仿宋_GB2312" w:cs="Times New Roman"/>
          <w:kern w:val="2"/>
          <w:sz w:val="32"/>
          <w:szCs w:val="32"/>
          <w:highlight w:val="none"/>
          <w:lang w:val="en-US" w:eastAsia="zh-CN" w:bidi="ar-SA"/>
        </w:rPr>
        <w:t>4.未发现虚假行为和骗取财政资金的问题。</w:t>
      </w:r>
    </w:p>
    <w:p w14:paraId="3BA2181E">
      <w:pPr>
        <w:pStyle w:val="3"/>
        <w:rPr>
          <w:rFonts w:hint="default" w:ascii="Times New Roman" w:hAnsi="Times New Roman" w:eastAsia="仿宋_GB2312" w:cs="Times New Roman"/>
          <w:kern w:val="2"/>
          <w:sz w:val="32"/>
          <w:szCs w:val="32"/>
          <w:highlight w:val="none"/>
          <w:lang w:val="en-US" w:eastAsia="zh-CN" w:bidi="ar-SA"/>
        </w:rPr>
      </w:pPr>
    </w:p>
    <w:p w14:paraId="6CA05576">
      <w:pPr>
        <w:spacing w:line="600" w:lineRule="exact"/>
        <w:rPr>
          <w:rFonts w:hint="eastAsia" w:ascii="Times New Roman" w:hAnsi="Times New Roman" w:eastAsia="仿宋_GB2312" w:cs="Times New Roman"/>
          <w:kern w:val="2"/>
          <w:sz w:val="32"/>
          <w:szCs w:val="32"/>
          <w:highlight w:val="none"/>
          <w:lang w:val="en-US" w:eastAsia="zh-CN" w:bidi="ar-SA"/>
        </w:rPr>
        <w:sectPr>
          <w:footerReference r:id="rId3" w:type="default"/>
          <w:pgSz w:w="11906" w:h="16838"/>
          <w:pgMar w:top="1440" w:right="1558" w:bottom="1440" w:left="1800" w:header="851" w:footer="992" w:gutter="0"/>
          <w:pgNumType w:start="1"/>
          <w:cols w:space="425" w:num="1"/>
          <w:docGrid w:type="lines" w:linePitch="312" w:charSpace="0"/>
        </w:sectPr>
      </w:pPr>
    </w:p>
    <w:p w14:paraId="3B939547">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14:paraId="4F6B37B4">
      <w:pPr>
        <w:pStyle w:val="19"/>
        <w:ind w:firstLine="562"/>
        <w:jc w:val="center"/>
        <w:rPr>
          <w:rFonts w:hint="eastAsia" w:ascii="仿宋_GB2312" w:hAnsi="仿宋_GB2312" w:eastAsia="仿宋_GB2312" w:cs="仿宋_GB2312"/>
          <w:sz w:val="28"/>
          <w:szCs w:val="40"/>
        </w:rPr>
      </w:pPr>
      <w:bookmarkStart w:id="2" w:name="_Toc30064_WPSOffice_Level1"/>
      <w:bookmarkStart w:id="3" w:name="_Toc26499_WPSOffice_Level2"/>
      <w:r>
        <w:rPr>
          <w:rFonts w:hint="eastAsia" w:ascii="仿宋_GB2312" w:hAnsi="仿宋_GB2312" w:eastAsia="仿宋_GB2312" w:cs="仿宋_GB2312"/>
          <w:b/>
          <w:bCs/>
          <w:sz w:val="28"/>
          <w:szCs w:val="40"/>
          <w:lang w:val="en-US" w:eastAsia="zh-CN"/>
        </w:rPr>
        <w:t>2023年本级追加，达党财纪字〔2023〕1号，追加党校公共服务建设项目</w:t>
      </w:r>
      <w:r>
        <w:rPr>
          <w:rFonts w:hint="eastAsia" w:ascii="仿宋_GB2312" w:hAnsi="仿宋_GB2312" w:eastAsia="仿宋_GB2312" w:cs="仿宋_GB2312"/>
          <w:b/>
          <w:bCs/>
          <w:sz w:val="28"/>
          <w:szCs w:val="40"/>
        </w:rPr>
        <w:t>绩效评价指标体系及综合评分表</w:t>
      </w:r>
      <w:bookmarkEnd w:id="2"/>
      <w:bookmarkEnd w:id="3"/>
    </w:p>
    <w:tbl>
      <w:tblPr>
        <w:tblStyle w:val="14"/>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1002"/>
        <w:gridCol w:w="1000"/>
        <w:gridCol w:w="1071"/>
        <w:gridCol w:w="1725"/>
        <w:gridCol w:w="5216"/>
        <w:gridCol w:w="5"/>
        <w:gridCol w:w="1299"/>
        <w:gridCol w:w="1365"/>
      </w:tblGrid>
      <w:tr w14:paraId="4F107E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395" w:type="pct"/>
            <w:shd w:val="clear" w:color="auto" w:fill="FFFFFF"/>
            <w:vAlign w:val="center"/>
          </w:tcPr>
          <w:p w14:paraId="61AA652F">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394" w:type="pct"/>
            <w:shd w:val="clear" w:color="auto" w:fill="FFFFFF"/>
            <w:vAlign w:val="center"/>
          </w:tcPr>
          <w:p w14:paraId="3CCC7E8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422" w:type="pct"/>
            <w:shd w:val="clear" w:color="auto" w:fill="FFFFFF"/>
            <w:vAlign w:val="center"/>
          </w:tcPr>
          <w:p w14:paraId="5EABFBA4">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680" w:type="pct"/>
            <w:shd w:val="clear" w:color="auto" w:fill="FFFFFF"/>
            <w:vAlign w:val="center"/>
          </w:tcPr>
          <w:p w14:paraId="5175A39E">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2056" w:type="pct"/>
            <w:shd w:val="clear" w:color="auto" w:fill="FFFFFF"/>
            <w:vAlign w:val="center"/>
          </w:tcPr>
          <w:p w14:paraId="130905C5">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514" w:type="pct"/>
            <w:gridSpan w:val="2"/>
            <w:shd w:val="clear" w:color="auto" w:fill="FFFFFF"/>
            <w:vAlign w:val="center"/>
          </w:tcPr>
          <w:p w14:paraId="43943279">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538" w:type="pct"/>
            <w:shd w:val="clear" w:color="auto" w:fill="FFFFFF"/>
            <w:vAlign w:val="center"/>
          </w:tcPr>
          <w:p w14:paraId="47675841">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14:paraId="507B52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95" w:type="pct"/>
            <w:vMerge w:val="restart"/>
            <w:shd w:val="clear" w:color="auto" w:fill="FFFFFF"/>
            <w:vAlign w:val="center"/>
          </w:tcPr>
          <w:p w14:paraId="30DD2841">
            <w:pPr>
              <w:widowControl/>
              <w:spacing w:line="0" w:lineRule="atLeast"/>
              <w:jc w:val="center"/>
              <w:rPr>
                <w:rFonts w:hint="default" w:ascii="Times New Roman" w:hAnsi="Times New Roman" w:eastAsia="仿宋_GB2312" w:cs="Times New Roman"/>
                <w:color w:val="000000"/>
                <w:kern w:val="0"/>
                <w:sz w:val="18"/>
                <w:szCs w:val="18"/>
              </w:rPr>
            </w:pPr>
          </w:p>
          <w:p w14:paraId="5C999CB4">
            <w:pPr>
              <w:widowControl/>
              <w:spacing w:line="0" w:lineRule="atLeast"/>
              <w:jc w:val="center"/>
              <w:rPr>
                <w:rFonts w:hint="default" w:ascii="Times New Roman" w:hAnsi="Times New Roman" w:eastAsia="仿宋_GB2312" w:cs="Times New Roman"/>
                <w:color w:val="000000"/>
                <w:kern w:val="0"/>
                <w:sz w:val="18"/>
                <w:szCs w:val="18"/>
              </w:rPr>
            </w:pPr>
          </w:p>
          <w:p w14:paraId="5F6B9081">
            <w:pPr>
              <w:widowControl/>
              <w:spacing w:line="0" w:lineRule="atLeast"/>
              <w:jc w:val="center"/>
              <w:rPr>
                <w:rFonts w:hint="default" w:ascii="Times New Roman" w:hAnsi="Times New Roman" w:eastAsia="仿宋_GB2312" w:cs="Times New Roman"/>
                <w:color w:val="000000"/>
                <w:kern w:val="0"/>
                <w:sz w:val="18"/>
                <w:szCs w:val="18"/>
              </w:rPr>
            </w:pPr>
          </w:p>
          <w:p w14:paraId="2928D8E8">
            <w:pPr>
              <w:widowControl/>
              <w:spacing w:line="0" w:lineRule="atLeast"/>
              <w:jc w:val="center"/>
              <w:rPr>
                <w:rFonts w:hint="default" w:ascii="Times New Roman" w:hAnsi="Times New Roman" w:eastAsia="仿宋_GB2312" w:cs="Times New Roman"/>
                <w:color w:val="000000"/>
                <w:kern w:val="0"/>
                <w:sz w:val="18"/>
                <w:szCs w:val="18"/>
              </w:rPr>
            </w:pPr>
          </w:p>
          <w:p w14:paraId="5B7A878C">
            <w:pPr>
              <w:widowControl/>
              <w:spacing w:line="0" w:lineRule="atLeast"/>
              <w:jc w:val="center"/>
              <w:rPr>
                <w:rFonts w:hint="default" w:ascii="Times New Roman" w:hAnsi="Times New Roman" w:eastAsia="仿宋_GB2312" w:cs="Times New Roman"/>
                <w:color w:val="000000"/>
                <w:kern w:val="0"/>
                <w:sz w:val="18"/>
                <w:szCs w:val="18"/>
              </w:rPr>
            </w:pPr>
          </w:p>
          <w:p w14:paraId="785F3821">
            <w:pPr>
              <w:widowControl/>
              <w:spacing w:line="0" w:lineRule="atLeast"/>
              <w:jc w:val="center"/>
              <w:rPr>
                <w:rFonts w:hint="default" w:ascii="Times New Roman" w:hAnsi="Times New Roman" w:eastAsia="仿宋_GB2312" w:cs="Times New Roman"/>
                <w:color w:val="000000"/>
                <w:kern w:val="0"/>
                <w:sz w:val="18"/>
                <w:szCs w:val="18"/>
              </w:rPr>
            </w:pPr>
          </w:p>
          <w:p w14:paraId="59E640C7">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394" w:type="pct"/>
            <w:vMerge w:val="restart"/>
            <w:shd w:val="clear" w:color="auto" w:fill="FFFFFF"/>
            <w:vAlign w:val="center"/>
          </w:tcPr>
          <w:p w14:paraId="2D23D20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422" w:type="pct"/>
            <w:shd w:val="clear" w:color="auto" w:fill="FFFFFF"/>
            <w:vAlign w:val="center"/>
          </w:tcPr>
          <w:p w14:paraId="2B8C2283">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14:paraId="7ECB52F3">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680" w:type="pct"/>
            <w:shd w:val="clear" w:color="auto" w:fill="FFFFFF"/>
            <w:vAlign w:val="center"/>
          </w:tcPr>
          <w:p w14:paraId="6F22700C">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2056" w:type="pct"/>
            <w:shd w:val="clear" w:color="auto" w:fill="FFFFFF"/>
            <w:vAlign w:val="center"/>
          </w:tcPr>
          <w:p w14:paraId="7CA15DF2">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514" w:type="pct"/>
            <w:gridSpan w:val="2"/>
            <w:shd w:val="clear" w:color="auto" w:fill="FFFFFF"/>
            <w:vAlign w:val="center"/>
          </w:tcPr>
          <w:p w14:paraId="5BD2F436">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14:paraId="10DEA741">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ascii="Times New Roman" w:hAnsi="Times New Roman" w:eastAsia="仿宋_GB2312" w:cs="Times New Roman"/>
                <w:b/>
                <w:bCs/>
                <w:color w:val="000000"/>
                <w:kern w:val="0"/>
                <w:sz w:val="18"/>
                <w:szCs w:val="18"/>
                <w:lang w:val="en-US" w:eastAsia="zh-CN"/>
              </w:rPr>
              <w:t>3</w:t>
            </w:r>
          </w:p>
        </w:tc>
      </w:tr>
      <w:tr w14:paraId="2EDD13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5" w:type="pct"/>
            <w:vMerge w:val="continue"/>
            <w:shd w:val="clear" w:color="auto" w:fill="FFFFFF"/>
            <w:vAlign w:val="center"/>
          </w:tcPr>
          <w:p w14:paraId="6DAC2A7E">
            <w:pPr>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14:paraId="751F725A">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14:paraId="3969873F">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14:paraId="5D3E465B">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680" w:type="pct"/>
            <w:shd w:val="clear" w:color="auto" w:fill="FFFFFF"/>
            <w:vAlign w:val="center"/>
          </w:tcPr>
          <w:p w14:paraId="7724E69D">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2056" w:type="pct"/>
            <w:shd w:val="clear" w:color="auto" w:fill="FFFFFF"/>
            <w:vAlign w:val="center"/>
          </w:tcPr>
          <w:p w14:paraId="53E8B962">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514" w:type="pct"/>
            <w:gridSpan w:val="2"/>
            <w:shd w:val="clear" w:color="auto" w:fill="FFFFFF"/>
            <w:vAlign w:val="center"/>
          </w:tcPr>
          <w:p w14:paraId="72414527">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14:paraId="46BCF098">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default" w:ascii="Times New Roman" w:hAnsi="Times New Roman" w:eastAsia="仿宋_GB2312" w:cs="Times New Roman"/>
                <w:b/>
                <w:bCs/>
                <w:color w:val="000000"/>
                <w:kern w:val="0"/>
                <w:sz w:val="18"/>
                <w:szCs w:val="18"/>
              </w:rPr>
              <w:t>3</w:t>
            </w:r>
          </w:p>
        </w:tc>
      </w:tr>
      <w:tr w14:paraId="73B3B7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5" w:type="pct"/>
            <w:vMerge w:val="continue"/>
            <w:shd w:val="clear" w:color="auto" w:fill="FFFFFF"/>
            <w:vAlign w:val="center"/>
          </w:tcPr>
          <w:p w14:paraId="1ACA9E2A">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14:paraId="75FA35D5">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422" w:type="pct"/>
            <w:shd w:val="clear" w:color="auto" w:fill="FFFFFF"/>
            <w:vAlign w:val="center"/>
          </w:tcPr>
          <w:p w14:paraId="5F69D0F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14:paraId="25AD37D1">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000000" w:fill="FFFFFF"/>
            <w:vAlign w:val="center"/>
          </w:tcPr>
          <w:p w14:paraId="123B6686">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2056" w:type="pct"/>
            <w:shd w:val="clear" w:color="000000" w:fill="FFFFFF"/>
            <w:vAlign w:val="center"/>
          </w:tcPr>
          <w:p w14:paraId="73286597">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14:paraId="57C3E388">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514" w:type="pct"/>
            <w:gridSpan w:val="2"/>
            <w:shd w:val="clear" w:color="000000" w:fill="FFFFFF"/>
            <w:vAlign w:val="center"/>
          </w:tcPr>
          <w:p w14:paraId="1B7DE25B">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000000" w:fill="FFFFFF"/>
            <w:vAlign w:val="center"/>
          </w:tcPr>
          <w:p w14:paraId="170418A3">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r>
      <w:tr w14:paraId="1FED1F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95" w:type="pct"/>
            <w:vMerge w:val="continue"/>
            <w:shd w:val="clear" w:color="auto" w:fill="FFFFFF"/>
            <w:vAlign w:val="center"/>
          </w:tcPr>
          <w:p w14:paraId="2ED24D4D">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14:paraId="61109314">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14:paraId="4EECA303">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14:paraId="5BD192DA">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680" w:type="pct"/>
            <w:shd w:val="clear" w:color="000000" w:fill="FFFFFF"/>
            <w:vAlign w:val="center"/>
          </w:tcPr>
          <w:p w14:paraId="791318B0">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2056" w:type="pct"/>
            <w:shd w:val="clear" w:color="000000" w:fill="FFFFFF"/>
            <w:vAlign w:val="center"/>
          </w:tcPr>
          <w:p w14:paraId="56DCA368">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514" w:type="pct"/>
            <w:gridSpan w:val="2"/>
            <w:shd w:val="clear" w:color="000000" w:fill="FFFFFF"/>
            <w:vAlign w:val="center"/>
          </w:tcPr>
          <w:p w14:paraId="1FF2814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000000" w:fill="FFFFFF"/>
            <w:vAlign w:val="center"/>
          </w:tcPr>
          <w:p w14:paraId="51C95082">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r>
      <w:tr w14:paraId="43B068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95" w:type="pct"/>
            <w:vMerge w:val="continue"/>
            <w:shd w:val="clear" w:color="auto" w:fill="FFFFFF"/>
            <w:vAlign w:val="center"/>
          </w:tcPr>
          <w:p w14:paraId="1D1B8680">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14:paraId="785CDAD6">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14:paraId="01B842D7">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14:paraId="38345BA2">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14:paraId="523FA00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680" w:type="pct"/>
            <w:shd w:val="clear" w:color="auto" w:fill="FFFFFF"/>
            <w:vAlign w:val="center"/>
          </w:tcPr>
          <w:p w14:paraId="21B04E7E">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2056" w:type="pct"/>
            <w:shd w:val="clear" w:color="auto" w:fill="FFFFFF"/>
            <w:vAlign w:val="center"/>
          </w:tcPr>
          <w:p w14:paraId="3349F0B0">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514" w:type="pct"/>
            <w:gridSpan w:val="2"/>
            <w:shd w:val="clear" w:color="auto" w:fill="FFFFFF"/>
            <w:vAlign w:val="center"/>
          </w:tcPr>
          <w:p w14:paraId="53DE22F6">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14:paraId="667F1ABA">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r>
      <w:tr w14:paraId="450C7C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95" w:type="pct"/>
            <w:vMerge w:val="continue"/>
            <w:shd w:val="clear" w:color="auto" w:fill="FFFFFF"/>
            <w:vAlign w:val="center"/>
          </w:tcPr>
          <w:p w14:paraId="20E93017">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14:paraId="138AC310">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14:paraId="6566EAEB">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14:paraId="154FEC3E">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auto" w:fill="FFFFFF"/>
            <w:vAlign w:val="center"/>
          </w:tcPr>
          <w:p w14:paraId="7C209FC7">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2056" w:type="pct"/>
            <w:shd w:val="clear" w:color="auto" w:fill="FFFFFF"/>
            <w:vAlign w:val="center"/>
          </w:tcPr>
          <w:p w14:paraId="7C3BF0D9">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514" w:type="pct"/>
            <w:gridSpan w:val="2"/>
            <w:shd w:val="clear" w:color="auto" w:fill="FFFFFF"/>
            <w:vAlign w:val="center"/>
          </w:tcPr>
          <w:p w14:paraId="352AC61C">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14:paraId="631E537E">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r>
      <w:tr w14:paraId="1B6532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95" w:type="pct"/>
            <w:vMerge w:val="restart"/>
            <w:shd w:val="clear" w:color="auto" w:fill="FFFFFF"/>
            <w:vAlign w:val="center"/>
          </w:tcPr>
          <w:p w14:paraId="5086FA89">
            <w:pPr>
              <w:spacing w:line="0" w:lineRule="atLeast"/>
              <w:jc w:val="center"/>
              <w:rPr>
                <w:rFonts w:hint="default" w:ascii="Times New Roman" w:hAnsi="Times New Roman" w:eastAsia="仿宋_GB2312" w:cs="Times New Roman"/>
                <w:color w:val="000000"/>
                <w:kern w:val="0"/>
                <w:sz w:val="18"/>
                <w:szCs w:val="18"/>
              </w:rPr>
            </w:pPr>
          </w:p>
          <w:p w14:paraId="0EFFCD01">
            <w:pPr>
              <w:spacing w:line="0" w:lineRule="atLeast"/>
              <w:jc w:val="center"/>
              <w:rPr>
                <w:rFonts w:hint="default" w:ascii="Times New Roman" w:hAnsi="Times New Roman" w:eastAsia="仿宋_GB2312" w:cs="Times New Roman"/>
                <w:color w:val="000000"/>
                <w:kern w:val="0"/>
                <w:sz w:val="18"/>
                <w:szCs w:val="18"/>
              </w:rPr>
            </w:pPr>
          </w:p>
          <w:p w14:paraId="351B0E10">
            <w:pPr>
              <w:spacing w:line="0" w:lineRule="atLeast"/>
              <w:jc w:val="center"/>
              <w:rPr>
                <w:rFonts w:hint="default" w:ascii="Times New Roman" w:hAnsi="Times New Roman" w:eastAsia="仿宋_GB2312" w:cs="Times New Roman"/>
                <w:color w:val="000000"/>
                <w:kern w:val="0"/>
                <w:sz w:val="18"/>
                <w:szCs w:val="18"/>
              </w:rPr>
            </w:pPr>
          </w:p>
          <w:p w14:paraId="5CE21D6B">
            <w:pPr>
              <w:spacing w:line="0" w:lineRule="atLeast"/>
              <w:jc w:val="center"/>
              <w:rPr>
                <w:rFonts w:hint="default" w:ascii="Times New Roman" w:hAnsi="Times New Roman" w:eastAsia="仿宋_GB2312" w:cs="Times New Roman"/>
                <w:color w:val="000000"/>
                <w:kern w:val="0"/>
                <w:sz w:val="18"/>
                <w:szCs w:val="18"/>
              </w:rPr>
            </w:pPr>
          </w:p>
          <w:p w14:paraId="12D7E55D">
            <w:pPr>
              <w:spacing w:line="0" w:lineRule="atLeast"/>
              <w:jc w:val="center"/>
              <w:rPr>
                <w:rFonts w:hint="default" w:ascii="Times New Roman" w:hAnsi="Times New Roman" w:eastAsia="仿宋_GB2312" w:cs="Times New Roman"/>
                <w:color w:val="000000"/>
                <w:kern w:val="0"/>
                <w:sz w:val="18"/>
                <w:szCs w:val="18"/>
              </w:rPr>
            </w:pPr>
          </w:p>
          <w:p w14:paraId="696A75A9">
            <w:pPr>
              <w:spacing w:line="0" w:lineRule="atLeast"/>
              <w:jc w:val="center"/>
              <w:rPr>
                <w:rFonts w:hint="default" w:ascii="Times New Roman" w:hAnsi="Times New Roman" w:eastAsia="仿宋_GB2312" w:cs="Times New Roman"/>
                <w:color w:val="000000"/>
                <w:kern w:val="0"/>
                <w:sz w:val="18"/>
                <w:szCs w:val="18"/>
              </w:rPr>
            </w:pPr>
          </w:p>
          <w:p w14:paraId="3E92393A">
            <w:pPr>
              <w:spacing w:line="0" w:lineRule="atLeast"/>
              <w:jc w:val="center"/>
              <w:rPr>
                <w:rFonts w:hint="default" w:ascii="Times New Roman" w:hAnsi="Times New Roman" w:eastAsia="仿宋_GB2312" w:cs="Times New Roman"/>
                <w:color w:val="000000"/>
                <w:kern w:val="0"/>
                <w:sz w:val="18"/>
                <w:szCs w:val="18"/>
              </w:rPr>
            </w:pPr>
          </w:p>
          <w:p w14:paraId="73153ECE">
            <w:pPr>
              <w:spacing w:line="0" w:lineRule="atLeast"/>
              <w:jc w:val="center"/>
              <w:rPr>
                <w:rFonts w:hint="default" w:ascii="Times New Roman" w:hAnsi="Times New Roman" w:eastAsia="仿宋_GB2312" w:cs="Times New Roman"/>
                <w:color w:val="000000"/>
                <w:kern w:val="0"/>
                <w:sz w:val="18"/>
                <w:szCs w:val="18"/>
              </w:rPr>
            </w:pPr>
          </w:p>
          <w:p w14:paraId="715295EE">
            <w:pPr>
              <w:spacing w:line="0" w:lineRule="atLeast"/>
              <w:jc w:val="center"/>
              <w:rPr>
                <w:rFonts w:hint="default" w:ascii="Times New Roman" w:hAnsi="Times New Roman" w:eastAsia="仿宋_GB2312" w:cs="Times New Roman"/>
                <w:color w:val="000000"/>
                <w:kern w:val="0"/>
                <w:sz w:val="18"/>
                <w:szCs w:val="18"/>
              </w:rPr>
            </w:pPr>
          </w:p>
          <w:p w14:paraId="57A1AECE">
            <w:pPr>
              <w:spacing w:line="0" w:lineRule="atLeast"/>
              <w:jc w:val="center"/>
              <w:rPr>
                <w:rFonts w:hint="default" w:ascii="Times New Roman" w:hAnsi="Times New Roman" w:eastAsia="仿宋_GB2312" w:cs="Times New Roman"/>
                <w:color w:val="000000"/>
                <w:kern w:val="0"/>
                <w:sz w:val="18"/>
                <w:szCs w:val="18"/>
              </w:rPr>
            </w:pPr>
          </w:p>
          <w:p w14:paraId="0BC307E9">
            <w:pPr>
              <w:spacing w:line="0" w:lineRule="atLeast"/>
              <w:jc w:val="center"/>
              <w:rPr>
                <w:rFonts w:hint="default" w:ascii="Times New Roman" w:hAnsi="Times New Roman" w:eastAsia="仿宋_GB2312" w:cs="Times New Roman"/>
                <w:color w:val="000000"/>
                <w:kern w:val="0"/>
                <w:sz w:val="18"/>
                <w:szCs w:val="18"/>
              </w:rPr>
            </w:pPr>
          </w:p>
          <w:p w14:paraId="307AE745">
            <w:pPr>
              <w:spacing w:line="0" w:lineRule="atLeast"/>
              <w:jc w:val="center"/>
              <w:rPr>
                <w:rFonts w:hint="default" w:ascii="Times New Roman" w:hAnsi="Times New Roman" w:eastAsia="仿宋_GB2312" w:cs="Times New Roman"/>
                <w:color w:val="000000"/>
                <w:kern w:val="0"/>
                <w:sz w:val="18"/>
                <w:szCs w:val="18"/>
              </w:rPr>
            </w:pPr>
          </w:p>
          <w:p w14:paraId="620C70B1">
            <w:pPr>
              <w:spacing w:line="0" w:lineRule="atLeast"/>
              <w:jc w:val="center"/>
              <w:rPr>
                <w:rFonts w:hint="default" w:ascii="Times New Roman" w:hAnsi="Times New Roman" w:eastAsia="仿宋_GB2312" w:cs="Times New Roman"/>
                <w:color w:val="000000"/>
                <w:kern w:val="0"/>
                <w:sz w:val="18"/>
                <w:szCs w:val="18"/>
              </w:rPr>
            </w:pPr>
          </w:p>
          <w:p w14:paraId="5945B673">
            <w:pPr>
              <w:spacing w:line="0" w:lineRule="atLeast"/>
              <w:jc w:val="center"/>
              <w:rPr>
                <w:rFonts w:hint="default" w:ascii="Times New Roman" w:hAnsi="Times New Roman" w:eastAsia="仿宋_GB2312" w:cs="Times New Roman"/>
                <w:color w:val="000000"/>
                <w:kern w:val="0"/>
                <w:sz w:val="18"/>
                <w:szCs w:val="18"/>
              </w:rPr>
            </w:pPr>
          </w:p>
          <w:p w14:paraId="6AC00744">
            <w:pPr>
              <w:spacing w:line="0" w:lineRule="atLeast"/>
              <w:jc w:val="center"/>
              <w:rPr>
                <w:rFonts w:hint="default" w:ascii="Times New Roman" w:hAnsi="Times New Roman" w:eastAsia="仿宋_GB2312" w:cs="Times New Roman"/>
                <w:color w:val="000000"/>
                <w:kern w:val="0"/>
                <w:sz w:val="18"/>
                <w:szCs w:val="18"/>
              </w:rPr>
            </w:pPr>
          </w:p>
          <w:p w14:paraId="4A359D7C">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14:paraId="6062CAA1">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394" w:type="pct"/>
            <w:vMerge w:val="restart"/>
            <w:shd w:val="clear" w:color="auto" w:fill="FFFFFF"/>
            <w:vAlign w:val="center"/>
          </w:tcPr>
          <w:p w14:paraId="7892CED9">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14:paraId="574EAE1E">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680" w:type="pct"/>
            <w:shd w:val="clear" w:color="000000" w:fill="FFFFFF"/>
            <w:vAlign w:val="center"/>
          </w:tcPr>
          <w:p w14:paraId="59E8DB5C">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2056" w:type="pct"/>
            <w:shd w:val="clear" w:color="000000" w:fill="FFFFFF"/>
            <w:vAlign w:val="center"/>
          </w:tcPr>
          <w:p w14:paraId="0B934897">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14:paraId="29283E9B">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14:paraId="78006057">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514" w:type="pct"/>
            <w:gridSpan w:val="2"/>
            <w:shd w:val="clear" w:color="000000" w:fill="FFFFFF"/>
            <w:vAlign w:val="center"/>
          </w:tcPr>
          <w:p w14:paraId="3228ACE3">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14:paraId="7217C38F">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r>
      <w:tr w14:paraId="53A456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95" w:type="pct"/>
            <w:vMerge w:val="continue"/>
            <w:shd w:val="clear" w:color="auto" w:fill="FFFFFF"/>
            <w:vAlign w:val="center"/>
          </w:tcPr>
          <w:p w14:paraId="402EF96D">
            <w:pPr>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14:paraId="2BA5293B">
            <w:pPr>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14:paraId="6D40755F">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680" w:type="pct"/>
            <w:shd w:val="clear" w:color="auto" w:fill="FFFFFF"/>
            <w:vAlign w:val="center"/>
          </w:tcPr>
          <w:p w14:paraId="6DF35DE4">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2056" w:type="pct"/>
            <w:shd w:val="clear" w:color="auto" w:fill="FFFFFF"/>
            <w:vAlign w:val="center"/>
          </w:tcPr>
          <w:p w14:paraId="35021E1A">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514" w:type="pct"/>
            <w:gridSpan w:val="2"/>
            <w:shd w:val="clear" w:color="auto" w:fill="FFFFFF"/>
            <w:vAlign w:val="center"/>
          </w:tcPr>
          <w:p w14:paraId="52B8CC4A">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14:paraId="484B400F">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r>
      <w:tr w14:paraId="4B490B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5" w:type="pct"/>
            <w:vMerge w:val="continue"/>
            <w:shd w:val="clear" w:color="auto" w:fill="FFFFFF"/>
            <w:vAlign w:val="center"/>
          </w:tcPr>
          <w:p w14:paraId="2869390A">
            <w:pPr>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14:paraId="7CC51FFF">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14:paraId="670AE4C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14:paraId="7975A129">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680" w:type="pct"/>
            <w:shd w:val="clear" w:color="000000" w:fill="FFFFFF"/>
            <w:vAlign w:val="center"/>
          </w:tcPr>
          <w:p w14:paraId="069274A3">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2056" w:type="pct"/>
            <w:shd w:val="clear" w:color="000000" w:fill="FFFFFF"/>
            <w:vAlign w:val="center"/>
          </w:tcPr>
          <w:p w14:paraId="49620DF8">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514" w:type="pct"/>
            <w:gridSpan w:val="2"/>
            <w:shd w:val="clear" w:color="000000" w:fill="FFFFFF"/>
            <w:vAlign w:val="center"/>
          </w:tcPr>
          <w:p w14:paraId="0BA0E7BC">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14:paraId="5E002BF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r>
      <w:tr w14:paraId="265461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95" w:type="pct"/>
            <w:vMerge w:val="continue"/>
            <w:shd w:val="clear" w:color="auto" w:fill="FFFFFF"/>
            <w:vAlign w:val="center"/>
          </w:tcPr>
          <w:p w14:paraId="7F0405EC">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14:paraId="50D43772">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14:paraId="2C974B31">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14:paraId="085DC7D6">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14:paraId="103AEC3E">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680" w:type="pct"/>
            <w:shd w:val="clear" w:color="000000" w:fill="FFFFFF"/>
            <w:vAlign w:val="center"/>
          </w:tcPr>
          <w:p w14:paraId="412502E2">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2056" w:type="pct"/>
            <w:shd w:val="clear" w:color="000000" w:fill="FFFFFF"/>
            <w:vAlign w:val="center"/>
          </w:tcPr>
          <w:p w14:paraId="7155D4FB">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514" w:type="pct"/>
            <w:gridSpan w:val="2"/>
            <w:shd w:val="clear" w:color="000000" w:fill="FFFFFF"/>
            <w:vAlign w:val="center"/>
          </w:tcPr>
          <w:p w14:paraId="1746194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14:paraId="44EE3A3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r>
      <w:tr w14:paraId="7FBD3B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95" w:type="pct"/>
            <w:vMerge w:val="continue"/>
            <w:shd w:val="clear" w:color="auto" w:fill="FFFFFF"/>
            <w:vAlign w:val="center"/>
          </w:tcPr>
          <w:p w14:paraId="57B7FCD1">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14:paraId="213D0B13">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14:paraId="5A773C7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14:paraId="2979A86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680" w:type="pct"/>
            <w:shd w:val="clear" w:color="000000" w:fill="FFFFFF"/>
            <w:vAlign w:val="center"/>
          </w:tcPr>
          <w:p w14:paraId="433DAEBE">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2056" w:type="pct"/>
            <w:shd w:val="clear" w:color="000000" w:fill="FFFFFF"/>
            <w:vAlign w:val="center"/>
          </w:tcPr>
          <w:p w14:paraId="100C31E3">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514" w:type="pct"/>
            <w:gridSpan w:val="2"/>
            <w:shd w:val="clear" w:color="000000" w:fill="FFFFFF"/>
            <w:vAlign w:val="center"/>
          </w:tcPr>
          <w:p w14:paraId="44473D5E">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14:paraId="60E30355">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r>
      <w:tr w14:paraId="2E6475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33" w:hRule="atLeast"/>
          <w:jc w:val="center"/>
        </w:trPr>
        <w:tc>
          <w:tcPr>
            <w:tcW w:w="395" w:type="pct"/>
            <w:vMerge w:val="restart"/>
            <w:shd w:val="clear" w:color="auto" w:fill="FFFFFF"/>
            <w:vAlign w:val="center"/>
          </w:tcPr>
          <w:p w14:paraId="776E2C59">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394" w:type="pct"/>
            <w:shd w:val="clear" w:color="auto" w:fill="FFFFFF"/>
            <w:vAlign w:val="center"/>
          </w:tcPr>
          <w:p w14:paraId="13C7B96F">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422" w:type="pct"/>
            <w:shd w:val="clear" w:color="auto" w:fill="FFFFFF"/>
            <w:vAlign w:val="center"/>
          </w:tcPr>
          <w:p w14:paraId="1792043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680" w:type="pct"/>
            <w:shd w:val="clear" w:color="000000" w:fill="FFFFFF"/>
            <w:vAlign w:val="center"/>
          </w:tcPr>
          <w:p w14:paraId="1A4BCC28">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2056" w:type="pct"/>
            <w:shd w:val="clear" w:color="000000" w:fill="FFFFFF"/>
            <w:vAlign w:val="center"/>
          </w:tcPr>
          <w:p w14:paraId="766B5F2D">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514" w:type="pct"/>
            <w:gridSpan w:val="2"/>
            <w:shd w:val="clear" w:color="000000" w:fill="FFFFFF"/>
            <w:vAlign w:val="center"/>
          </w:tcPr>
          <w:p w14:paraId="7A502BD0">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14:paraId="3205D485">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r>
      <w:tr w14:paraId="793EFB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51" w:hRule="atLeast"/>
          <w:jc w:val="center"/>
        </w:trPr>
        <w:tc>
          <w:tcPr>
            <w:tcW w:w="395" w:type="pct"/>
            <w:vMerge w:val="continue"/>
            <w:shd w:val="clear" w:color="auto" w:fill="FFFFFF"/>
            <w:vAlign w:val="center"/>
          </w:tcPr>
          <w:p w14:paraId="07FF60FF">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14:paraId="6C3B5638">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422" w:type="pct"/>
            <w:shd w:val="clear" w:color="auto" w:fill="FFFFFF"/>
            <w:vAlign w:val="center"/>
          </w:tcPr>
          <w:p w14:paraId="6DC841ED">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680" w:type="pct"/>
            <w:shd w:val="clear" w:color="000000" w:fill="FFFFFF"/>
            <w:vAlign w:val="center"/>
          </w:tcPr>
          <w:p w14:paraId="61CF5FD6">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2056" w:type="pct"/>
            <w:shd w:val="clear" w:color="000000" w:fill="FFFFFF"/>
            <w:vAlign w:val="center"/>
          </w:tcPr>
          <w:p w14:paraId="5D596361">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14:paraId="7C3CBBD8">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4" w:type="pct"/>
            <w:gridSpan w:val="2"/>
            <w:shd w:val="clear" w:color="000000" w:fill="FFFFFF"/>
            <w:vAlign w:val="center"/>
          </w:tcPr>
          <w:p w14:paraId="19C6B3B8">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14:paraId="76196158">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r>
      <w:tr w14:paraId="2B6006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49" w:hRule="atLeast"/>
          <w:jc w:val="center"/>
        </w:trPr>
        <w:tc>
          <w:tcPr>
            <w:tcW w:w="395" w:type="pct"/>
            <w:vMerge w:val="continue"/>
            <w:shd w:val="clear" w:color="auto" w:fill="FFFFFF"/>
            <w:vAlign w:val="center"/>
          </w:tcPr>
          <w:p w14:paraId="27B1A842">
            <w:pPr>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14:paraId="27A049C5">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422" w:type="pct"/>
            <w:shd w:val="clear" w:color="auto" w:fill="FFFFFF"/>
            <w:vAlign w:val="center"/>
          </w:tcPr>
          <w:p w14:paraId="5574CF4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680" w:type="pct"/>
            <w:shd w:val="clear" w:color="000000" w:fill="FFFFFF"/>
            <w:vAlign w:val="center"/>
          </w:tcPr>
          <w:p w14:paraId="3B490CED">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2056" w:type="pct"/>
            <w:shd w:val="clear" w:color="000000" w:fill="FFFFFF"/>
            <w:vAlign w:val="center"/>
          </w:tcPr>
          <w:p w14:paraId="31F6D272">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514" w:type="pct"/>
            <w:gridSpan w:val="2"/>
            <w:shd w:val="clear" w:color="000000" w:fill="FFFFFF"/>
            <w:vAlign w:val="center"/>
          </w:tcPr>
          <w:p w14:paraId="7CE7449B">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14:paraId="41DAC46F">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r>
      <w:tr w14:paraId="55C1B6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5" w:type="pct"/>
            <w:vMerge w:val="continue"/>
            <w:shd w:val="clear" w:color="auto" w:fill="FFFFFF"/>
            <w:vAlign w:val="center"/>
          </w:tcPr>
          <w:p w14:paraId="79782184">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14:paraId="6333D6AE">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422" w:type="pct"/>
            <w:shd w:val="clear" w:color="auto" w:fill="FFFFFF"/>
            <w:vAlign w:val="center"/>
          </w:tcPr>
          <w:p w14:paraId="617EB94F">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680" w:type="pct"/>
            <w:shd w:val="clear" w:color="000000" w:fill="FFFFFF"/>
            <w:vAlign w:val="center"/>
          </w:tcPr>
          <w:p w14:paraId="088B19F2">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2056" w:type="pct"/>
            <w:shd w:val="clear" w:color="000000" w:fill="FFFFFF"/>
            <w:vAlign w:val="center"/>
          </w:tcPr>
          <w:p w14:paraId="58A313F5">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514" w:type="pct"/>
            <w:gridSpan w:val="2"/>
            <w:shd w:val="clear" w:color="000000" w:fill="FFFFFF"/>
            <w:vAlign w:val="center"/>
          </w:tcPr>
          <w:p w14:paraId="1AA66710">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14:paraId="5AA989E3">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r>
      <w:tr w14:paraId="2D57DB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95" w:type="pct"/>
            <w:vMerge w:val="restart"/>
            <w:shd w:val="clear" w:color="auto" w:fill="FFFFFF"/>
            <w:vAlign w:val="center"/>
          </w:tcPr>
          <w:p w14:paraId="407A8436">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394" w:type="pct"/>
            <w:vMerge w:val="restart"/>
            <w:shd w:val="clear" w:color="auto" w:fill="FFFFFF"/>
            <w:vAlign w:val="center"/>
          </w:tcPr>
          <w:p w14:paraId="21FCFCD8">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422" w:type="pct"/>
            <w:shd w:val="clear" w:color="auto" w:fill="FFFFFF"/>
            <w:vAlign w:val="center"/>
          </w:tcPr>
          <w:p w14:paraId="6E48256B">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680" w:type="pct"/>
            <w:shd w:val="clear" w:color="auto" w:fill="FFFFFF"/>
            <w:vAlign w:val="center"/>
          </w:tcPr>
          <w:p w14:paraId="795E0B36">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2056" w:type="pct"/>
            <w:shd w:val="clear" w:color="auto" w:fill="FFFFFF"/>
            <w:vAlign w:val="center"/>
          </w:tcPr>
          <w:p w14:paraId="153D9E8C">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514" w:type="pct"/>
            <w:gridSpan w:val="2"/>
            <w:shd w:val="clear" w:color="auto" w:fill="FFFFFF"/>
            <w:vAlign w:val="center"/>
          </w:tcPr>
          <w:p w14:paraId="7EAE660F">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auto" w:fill="FFFFFF"/>
            <w:vAlign w:val="center"/>
          </w:tcPr>
          <w:p w14:paraId="0267F851">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r>
      <w:tr w14:paraId="0CDD7A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33" w:hRule="atLeast"/>
          <w:jc w:val="center"/>
        </w:trPr>
        <w:tc>
          <w:tcPr>
            <w:tcW w:w="395" w:type="pct"/>
            <w:vMerge w:val="continue"/>
            <w:shd w:val="clear" w:color="auto" w:fill="FFFFFF"/>
            <w:vAlign w:val="center"/>
          </w:tcPr>
          <w:p w14:paraId="6122E626">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14:paraId="4981F3CC">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14:paraId="44F2D309">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highlight w:val="none"/>
              </w:rPr>
              <w:t>满意度</w:t>
            </w:r>
          </w:p>
        </w:tc>
        <w:tc>
          <w:tcPr>
            <w:tcW w:w="680" w:type="pct"/>
            <w:shd w:val="clear" w:color="000000" w:fill="FFFFFF"/>
            <w:vAlign w:val="center"/>
          </w:tcPr>
          <w:p w14:paraId="47FAA55F">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2056" w:type="pct"/>
            <w:shd w:val="clear" w:color="000000" w:fill="FFFFFF"/>
            <w:vAlign w:val="center"/>
          </w:tcPr>
          <w:p w14:paraId="00C88B87">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514" w:type="pct"/>
            <w:gridSpan w:val="2"/>
            <w:shd w:val="clear" w:color="000000" w:fill="FFFFFF"/>
            <w:vAlign w:val="center"/>
          </w:tcPr>
          <w:p w14:paraId="40EDE37F">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14:paraId="6EF7EC98">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r>
      <w:tr w14:paraId="2F2D7E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93" w:hRule="atLeast"/>
          <w:jc w:val="center"/>
        </w:trPr>
        <w:tc>
          <w:tcPr>
            <w:tcW w:w="3949" w:type="pct"/>
            <w:gridSpan w:val="6"/>
            <w:shd w:val="clear" w:color="auto" w:fill="FFFFFF"/>
            <w:vAlign w:val="center"/>
          </w:tcPr>
          <w:p w14:paraId="2B863E0F">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合计</w:t>
            </w:r>
          </w:p>
        </w:tc>
        <w:tc>
          <w:tcPr>
            <w:tcW w:w="512" w:type="pct"/>
            <w:shd w:val="clear" w:color="000000" w:fill="FFFFFF"/>
            <w:vAlign w:val="center"/>
          </w:tcPr>
          <w:p w14:paraId="4E95BD9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fldChar w:fldCharType="begin"/>
            </w:r>
            <w:r>
              <w:rPr>
                <w:rFonts w:hint="default" w:ascii="Times New Roman" w:hAnsi="Times New Roman" w:eastAsia="仿宋_GB2312" w:cs="Times New Roman"/>
                <w:b/>
                <w:bCs/>
                <w:color w:val="000000"/>
                <w:kern w:val="0"/>
                <w:sz w:val="18"/>
                <w:szCs w:val="18"/>
              </w:rPr>
              <w:instrText xml:space="preserve"> = sum(F2:F18) \* MERGEFORMAT </w:instrText>
            </w:r>
            <w:r>
              <w:rPr>
                <w:rFonts w:hint="default" w:ascii="Times New Roman" w:hAnsi="Times New Roman" w:eastAsia="仿宋_GB2312" w:cs="Times New Roman"/>
                <w:b/>
                <w:bCs/>
                <w:color w:val="000000"/>
                <w:kern w:val="0"/>
                <w:sz w:val="18"/>
                <w:szCs w:val="18"/>
              </w:rPr>
              <w:fldChar w:fldCharType="separate"/>
            </w:r>
            <w:r>
              <w:rPr>
                <w:rFonts w:hint="default" w:ascii="Times New Roman" w:hAnsi="Times New Roman" w:eastAsia="仿宋_GB2312" w:cs="Times New Roman"/>
                <w:b/>
                <w:bCs/>
                <w:color w:val="000000"/>
                <w:kern w:val="0"/>
                <w:sz w:val="18"/>
                <w:szCs w:val="18"/>
              </w:rPr>
              <w:t>100</w:t>
            </w:r>
            <w:r>
              <w:rPr>
                <w:rFonts w:hint="default" w:ascii="Times New Roman" w:hAnsi="Times New Roman" w:eastAsia="仿宋_GB2312" w:cs="Times New Roman"/>
                <w:b/>
                <w:bCs/>
                <w:color w:val="000000"/>
                <w:kern w:val="0"/>
                <w:sz w:val="18"/>
                <w:szCs w:val="18"/>
              </w:rPr>
              <w:fldChar w:fldCharType="end"/>
            </w:r>
          </w:p>
        </w:tc>
        <w:tc>
          <w:tcPr>
            <w:tcW w:w="538" w:type="pct"/>
            <w:shd w:val="clear" w:color="000000" w:fill="FFFFFF"/>
            <w:vAlign w:val="center"/>
          </w:tcPr>
          <w:p w14:paraId="33BB8A15">
            <w:pPr>
              <w:widowControl/>
              <w:spacing w:line="0" w:lineRule="atLeast"/>
              <w:jc w:val="center"/>
              <w:rPr>
                <w:rFonts w:hint="eastAsia" w:ascii="Times New Roman" w:hAnsi="Times New Roman" w:eastAsia="仿宋_GB2312" w:cs="Times New Roman"/>
                <w:b/>
                <w:bCs/>
                <w:color w:val="000000"/>
                <w:kern w:val="0"/>
                <w:sz w:val="18"/>
                <w:szCs w:val="18"/>
                <w:highlight w:val="yellow"/>
                <w:lang w:val="en-US" w:eastAsia="zh-CN"/>
              </w:rPr>
            </w:pPr>
            <w:r>
              <w:rPr>
                <w:rFonts w:hint="default" w:ascii="Times New Roman" w:hAnsi="Times New Roman" w:eastAsia="仿宋_GB2312" w:cs="Times New Roman"/>
                <w:b/>
                <w:bCs/>
                <w:color w:val="000000"/>
                <w:kern w:val="0"/>
                <w:sz w:val="18"/>
                <w:szCs w:val="18"/>
              </w:rPr>
              <w:t>10</w:t>
            </w:r>
            <w:r>
              <w:rPr>
                <w:rFonts w:hint="eastAsia" w:eastAsia="仿宋_GB2312" w:cs="Times New Roman"/>
                <w:b/>
                <w:bCs/>
                <w:color w:val="000000"/>
                <w:kern w:val="0"/>
                <w:sz w:val="18"/>
                <w:szCs w:val="18"/>
                <w:lang w:val="en-US" w:eastAsia="zh-CN"/>
              </w:rPr>
              <w:t>0</w:t>
            </w:r>
          </w:p>
        </w:tc>
      </w:tr>
    </w:tbl>
    <w:p w14:paraId="6D728D58">
      <w:pPr>
        <w:rPr>
          <w:rFonts w:hint="default" w:ascii="Times New Roman" w:hAnsi="Times New Roman" w:cs="Times New Roman"/>
        </w:rPr>
        <w:sectPr>
          <w:pgSz w:w="16838" w:h="11906" w:orient="landscape"/>
          <w:pgMar w:top="1800" w:right="1440" w:bottom="1558" w:left="1440" w:header="851" w:footer="992" w:gutter="0"/>
          <w:cols w:space="425" w:num="1"/>
          <w:docGrid w:type="lines" w:linePitch="312" w:charSpace="0"/>
        </w:sectPr>
      </w:pPr>
    </w:p>
    <w:p w14:paraId="32B738EE">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14:paraId="6CCEF6D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14:paraId="084B463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4"/>
        <w:tblW w:w="1248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13"/>
        <w:gridCol w:w="814"/>
        <w:gridCol w:w="1633"/>
        <w:gridCol w:w="1360"/>
        <w:gridCol w:w="1234"/>
        <w:gridCol w:w="1679"/>
        <w:gridCol w:w="1640"/>
        <w:gridCol w:w="377"/>
        <w:gridCol w:w="370"/>
        <w:gridCol w:w="395"/>
        <w:gridCol w:w="496"/>
        <w:gridCol w:w="663"/>
        <w:gridCol w:w="1006"/>
      </w:tblGrid>
      <w:tr w14:paraId="0AF2AD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1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ABC0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085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34D5BC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2023年本级追加，达党财纪字〔2023〕1号，追加党校公共服务建设项目</w:t>
            </w:r>
          </w:p>
        </w:tc>
      </w:tr>
      <w:tr w14:paraId="09E858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16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8B67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42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E1EFE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中共乌鲁木齐市达坂城区委员会党校本级（参公）</w:t>
            </w:r>
          </w:p>
        </w:tc>
        <w:tc>
          <w:tcPr>
            <w:tcW w:w="16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DDC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94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45EE6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中共乌鲁木齐市达坂城区委员会党校本级（参公）</w:t>
            </w:r>
          </w:p>
        </w:tc>
      </w:tr>
      <w:tr w14:paraId="00DDC0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162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9A19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9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ACC45A">
            <w:pPr>
              <w:jc w:val="center"/>
              <w:rPr>
                <w:rFonts w:hint="eastAsia" w:ascii="宋体" w:hAnsi="宋体" w:eastAsia="宋体" w:cs="宋体"/>
                <w:i w:val="0"/>
                <w:iCs w:val="0"/>
                <w:color w:val="000000"/>
                <w:sz w:val="20"/>
                <w:szCs w:val="20"/>
                <w:u w:val="none"/>
              </w:rPr>
            </w:pP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C12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6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CEF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20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CA1F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31D6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1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9FB6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3BD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586E96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16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B71248">
            <w:pPr>
              <w:jc w:val="center"/>
              <w:rPr>
                <w:rFonts w:hint="eastAsia" w:ascii="宋体" w:hAnsi="宋体" w:eastAsia="宋体" w:cs="宋体"/>
                <w:i w:val="0"/>
                <w:iCs w:val="0"/>
                <w:color w:val="000000"/>
                <w:sz w:val="20"/>
                <w:szCs w:val="20"/>
                <w:u w:val="none"/>
              </w:rPr>
            </w:pPr>
          </w:p>
        </w:tc>
        <w:tc>
          <w:tcPr>
            <w:tcW w:w="29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EBA9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8D2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16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0CF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0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6111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4C35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0731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DA1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10.00分</w:t>
            </w:r>
          </w:p>
        </w:tc>
      </w:tr>
      <w:tr w14:paraId="0E6401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16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987D60">
            <w:pPr>
              <w:jc w:val="center"/>
              <w:rPr>
                <w:rFonts w:hint="eastAsia" w:ascii="宋体" w:hAnsi="宋体" w:eastAsia="宋体" w:cs="宋体"/>
                <w:i w:val="0"/>
                <w:iCs w:val="0"/>
                <w:color w:val="000000"/>
                <w:sz w:val="20"/>
                <w:szCs w:val="20"/>
                <w:u w:val="none"/>
              </w:rPr>
            </w:pPr>
          </w:p>
        </w:tc>
        <w:tc>
          <w:tcPr>
            <w:tcW w:w="29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FBF1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BED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6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77F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0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1289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470E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29ED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2E7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0257EF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16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4E01D0">
            <w:pPr>
              <w:jc w:val="center"/>
              <w:rPr>
                <w:rFonts w:hint="eastAsia" w:ascii="宋体" w:hAnsi="宋体" w:eastAsia="宋体" w:cs="宋体"/>
                <w:i w:val="0"/>
                <w:iCs w:val="0"/>
                <w:color w:val="000000"/>
                <w:sz w:val="20"/>
                <w:szCs w:val="20"/>
                <w:u w:val="none"/>
              </w:rPr>
            </w:pPr>
          </w:p>
        </w:tc>
        <w:tc>
          <w:tcPr>
            <w:tcW w:w="29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9AFB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AD6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6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8F9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0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3853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007F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F76A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6C9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6AC501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8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07CC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67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41680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494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39E8C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38DBE4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9"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48F5E6">
            <w:pPr>
              <w:jc w:val="center"/>
              <w:rPr>
                <w:rFonts w:hint="eastAsia" w:ascii="宋体" w:hAnsi="宋体" w:eastAsia="宋体" w:cs="宋体"/>
                <w:i w:val="0"/>
                <w:iCs w:val="0"/>
                <w:color w:val="000000"/>
                <w:sz w:val="20"/>
                <w:szCs w:val="20"/>
                <w:u w:val="none"/>
              </w:rPr>
            </w:pPr>
          </w:p>
        </w:tc>
        <w:tc>
          <w:tcPr>
            <w:tcW w:w="6720" w:type="dxa"/>
            <w:gridSpan w:val="5"/>
            <w:tcBorders>
              <w:top w:val="single" w:color="000000" w:sz="4" w:space="0"/>
              <w:left w:val="single" w:color="000000" w:sz="4" w:space="0"/>
              <w:bottom w:val="single" w:color="000000" w:sz="4" w:space="0"/>
              <w:right w:val="single" w:color="000000" w:sz="4" w:space="0"/>
            </w:tcBorders>
            <w:shd w:val="clear" w:color="auto" w:fill="auto"/>
            <w:vAlign w:val="top"/>
          </w:tcPr>
          <w:p w14:paraId="34A80949">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党校房屋修缮面积40平方米，改善学员学习环境</w:t>
            </w:r>
          </w:p>
        </w:tc>
        <w:tc>
          <w:tcPr>
            <w:tcW w:w="4947"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14:paraId="3EED933E">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截止2024年12月31日，已</w:t>
            </w:r>
            <w:r>
              <w:rPr>
                <w:rFonts w:hint="eastAsia" w:ascii="宋体" w:hAnsi="宋体" w:eastAsia="宋体" w:cs="宋体"/>
                <w:i w:val="0"/>
                <w:iCs w:val="0"/>
                <w:color w:val="000000"/>
                <w:kern w:val="0"/>
                <w:sz w:val="20"/>
                <w:szCs w:val="20"/>
                <w:u w:val="none"/>
                <w:lang w:val="en-US" w:eastAsia="zh-CN" w:bidi="ar"/>
              </w:rPr>
              <w:t>完成党校房屋修缮</w:t>
            </w:r>
            <w:r>
              <w:rPr>
                <w:rFonts w:hint="eastAsia" w:ascii="宋体" w:hAnsi="宋体" w:cs="宋体"/>
                <w:i w:val="0"/>
                <w:iCs w:val="0"/>
                <w:color w:val="000000"/>
                <w:kern w:val="0"/>
                <w:sz w:val="20"/>
                <w:szCs w:val="20"/>
                <w:u w:val="none"/>
                <w:lang w:val="en-US" w:eastAsia="zh-CN" w:bidi="ar"/>
              </w:rPr>
              <w:t>工作</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cs="宋体"/>
                <w:i w:val="0"/>
                <w:iCs w:val="0"/>
                <w:color w:val="000000"/>
                <w:kern w:val="0"/>
                <w:sz w:val="20"/>
                <w:szCs w:val="20"/>
                <w:u w:val="none"/>
                <w:lang w:val="en-US" w:eastAsia="zh-CN" w:bidi="ar"/>
              </w:rPr>
              <w:t>有效</w:t>
            </w:r>
            <w:r>
              <w:rPr>
                <w:rFonts w:hint="eastAsia" w:ascii="宋体" w:hAnsi="宋体" w:eastAsia="宋体" w:cs="宋体"/>
                <w:i w:val="0"/>
                <w:iCs w:val="0"/>
                <w:color w:val="000000"/>
                <w:kern w:val="0"/>
                <w:sz w:val="20"/>
                <w:szCs w:val="20"/>
                <w:u w:val="none"/>
                <w:lang w:val="en-US" w:eastAsia="zh-CN" w:bidi="ar"/>
              </w:rPr>
              <w:t>改善学员学习环境</w:t>
            </w:r>
            <w:r>
              <w:rPr>
                <w:rFonts w:hint="eastAsia" w:ascii="宋体" w:hAnsi="宋体" w:cs="宋体"/>
                <w:i w:val="0"/>
                <w:iCs w:val="0"/>
                <w:color w:val="000000"/>
                <w:kern w:val="0"/>
                <w:sz w:val="20"/>
                <w:szCs w:val="20"/>
                <w:u w:val="none"/>
                <w:lang w:val="en-US" w:eastAsia="zh-CN" w:bidi="ar"/>
              </w:rPr>
              <w:t>。</w:t>
            </w:r>
          </w:p>
        </w:tc>
      </w:tr>
      <w:tr w14:paraId="6D9696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72FDDE">
            <w:pPr>
              <w:jc w:val="center"/>
              <w:rPr>
                <w:rFonts w:hint="eastAsia" w:ascii="宋体" w:hAnsi="宋体" w:eastAsia="宋体" w:cs="宋体"/>
                <w:i w:val="0"/>
                <w:iCs w:val="0"/>
                <w:color w:val="000000"/>
                <w:sz w:val="20"/>
                <w:szCs w:val="20"/>
                <w:u w:val="none"/>
              </w:rPr>
            </w:pPr>
          </w:p>
        </w:tc>
        <w:tc>
          <w:tcPr>
            <w:tcW w:w="8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0763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6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6747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59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B274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FC2C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16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2639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74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1B53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89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D0BD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166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6C70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31C26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D9492C">
            <w:pPr>
              <w:jc w:val="center"/>
              <w:rPr>
                <w:rFonts w:hint="eastAsia" w:ascii="宋体" w:hAnsi="宋体" w:eastAsia="宋体" w:cs="宋体"/>
                <w:i w:val="0"/>
                <w:iCs w:val="0"/>
                <w:color w:val="000000"/>
                <w:sz w:val="20"/>
                <w:szCs w:val="20"/>
                <w:u w:val="none"/>
              </w:rPr>
            </w:pPr>
          </w:p>
        </w:tc>
        <w:tc>
          <w:tcPr>
            <w:tcW w:w="8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767D1D">
            <w:pPr>
              <w:jc w:val="center"/>
              <w:rPr>
                <w:rFonts w:hint="eastAsia" w:ascii="宋体" w:hAnsi="宋体" w:eastAsia="宋体" w:cs="宋体"/>
                <w:i w:val="0"/>
                <w:iCs w:val="0"/>
                <w:color w:val="000000"/>
                <w:sz w:val="20"/>
                <w:szCs w:val="20"/>
                <w:u w:val="none"/>
              </w:rPr>
            </w:pPr>
          </w:p>
        </w:tc>
        <w:tc>
          <w:tcPr>
            <w:tcW w:w="16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9C2D09">
            <w:pPr>
              <w:jc w:val="center"/>
              <w:rPr>
                <w:rFonts w:hint="eastAsia" w:ascii="宋体" w:hAnsi="宋体" w:eastAsia="宋体" w:cs="宋体"/>
                <w:i w:val="0"/>
                <w:iCs w:val="0"/>
                <w:color w:val="000000"/>
                <w:sz w:val="20"/>
                <w:szCs w:val="20"/>
                <w:u w:val="none"/>
              </w:rPr>
            </w:pPr>
          </w:p>
        </w:tc>
        <w:tc>
          <w:tcPr>
            <w:tcW w:w="259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7E33F7">
            <w:pPr>
              <w:jc w:val="center"/>
              <w:rPr>
                <w:rFonts w:hint="eastAsia" w:ascii="宋体" w:hAnsi="宋体" w:eastAsia="宋体" w:cs="宋体"/>
                <w:i w:val="0"/>
                <w:iCs w:val="0"/>
                <w:color w:val="000000"/>
                <w:sz w:val="20"/>
                <w:szCs w:val="20"/>
                <w:u w:val="none"/>
              </w:rPr>
            </w:pPr>
          </w:p>
        </w:tc>
        <w:tc>
          <w:tcPr>
            <w:tcW w:w="1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8D0F81">
            <w:pPr>
              <w:jc w:val="center"/>
              <w:rPr>
                <w:rFonts w:hint="eastAsia" w:ascii="宋体" w:hAnsi="宋体" w:eastAsia="宋体" w:cs="宋体"/>
                <w:i w:val="0"/>
                <w:iCs w:val="0"/>
                <w:color w:val="000000"/>
                <w:sz w:val="20"/>
                <w:szCs w:val="20"/>
                <w:u w:val="none"/>
              </w:rPr>
            </w:pPr>
          </w:p>
        </w:tc>
        <w:tc>
          <w:tcPr>
            <w:tcW w:w="16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56F483">
            <w:pPr>
              <w:jc w:val="center"/>
              <w:rPr>
                <w:rFonts w:hint="eastAsia" w:ascii="宋体" w:hAnsi="宋体" w:eastAsia="宋体" w:cs="宋体"/>
                <w:i w:val="0"/>
                <w:iCs w:val="0"/>
                <w:color w:val="000000"/>
                <w:sz w:val="20"/>
                <w:szCs w:val="20"/>
                <w:u w:val="none"/>
              </w:rPr>
            </w:pPr>
          </w:p>
        </w:tc>
        <w:tc>
          <w:tcPr>
            <w:tcW w:w="74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9A6E28">
            <w:pPr>
              <w:jc w:val="center"/>
              <w:rPr>
                <w:rFonts w:hint="eastAsia" w:ascii="宋体" w:hAnsi="宋体" w:eastAsia="宋体" w:cs="宋体"/>
                <w:i w:val="0"/>
                <w:iCs w:val="0"/>
                <w:color w:val="000000"/>
                <w:sz w:val="20"/>
                <w:szCs w:val="20"/>
                <w:u w:val="none"/>
              </w:rPr>
            </w:pPr>
          </w:p>
        </w:tc>
        <w:tc>
          <w:tcPr>
            <w:tcW w:w="89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E1F376">
            <w:pPr>
              <w:jc w:val="center"/>
              <w:rPr>
                <w:rFonts w:hint="eastAsia" w:ascii="宋体" w:hAnsi="宋体" w:eastAsia="宋体" w:cs="宋体"/>
                <w:i w:val="0"/>
                <w:iCs w:val="0"/>
                <w:color w:val="000000"/>
                <w:sz w:val="20"/>
                <w:szCs w:val="20"/>
                <w:u w:val="none"/>
              </w:rPr>
            </w:pPr>
          </w:p>
        </w:tc>
        <w:tc>
          <w:tcPr>
            <w:tcW w:w="166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022181">
            <w:pPr>
              <w:jc w:val="center"/>
              <w:rPr>
                <w:rFonts w:hint="eastAsia" w:ascii="宋体" w:hAnsi="宋体" w:eastAsia="宋体" w:cs="宋体"/>
                <w:i w:val="0"/>
                <w:iCs w:val="0"/>
                <w:color w:val="000000"/>
                <w:sz w:val="20"/>
                <w:szCs w:val="20"/>
                <w:u w:val="none"/>
              </w:rPr>
            </w:pPr>
          </w:p>
        </w:tc>
      </w:tr>
      <w:tr w14:paraId="2B5261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EF07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8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4FE6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EB8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BD81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党校房屋修缮面积</w:t>
            </w:r>
          </w:p>
        </w:tc>
        <w:tc>
          <w:tcPr>
            <w:tcW w:w="16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46A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&gt;=40平方米</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333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=40平方米</w:t>
            </w:r>
          </w:p>
        </w:tc>
        <w:tc>
          <w:tcPr>
            <w:tcW w:w="7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D95D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A13E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63A0E9">
            <w:pPr>
              <w:jc w:val="center"/>
              <w:rPr>
                <w:rFonts w:hint="eastAsia" w:ascii="宋体" w:hAnsi="宋体" w:eastAsia="宋体" w:cs="宋体"/>
                <w:i w:val="0"/>
                <w:iCs w:val="0"/>
                <w:color w:val="000000"/>
                <w:sz w:val="20"/>
                <w:szCs w:val="20"/>
                <w:u w:val="none"/>
              </w:rPr>
            </w:pPr>
          </w:p>
        </w:tc>
      </w:tr>
      <w:tr w14:paraId="4F40C7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BCF5B4">
            <w:pPr>
              <w:jc w:val="center"/>
              <w:rPr>
                <w:rFonts w:hint="eastAsia" w:ascii="宋体" w:hAnsi="宋体" w:eastAsia="宋体" w:cs="宋体"/>
                <w:i w:val="0"/>
                <w:iCs w:val="0"/>
                <w:color w:val="000000"/>
                <w:sz w:val="20"/>
                <w:szCs w:val="20"/>
                <w:u w:val="none"/>
              </w:rPr>
            </w:pPr>
          </w:p>
        </w:tc>
        <w:tc>
          <w:tcPr>
            <w:tcW w:w="8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25815C">
            <w:pPr>
              <w:jc w:val="center"/>
              <w:rPr>
                <w:rFonts w:hint="eastAsia" w:ascii="宋体" w:hAnsi="宋体" w:eastAsia="宋体" w:cs="宋体"/>
                <w:i w:val="0"/>
                <w:iCs w:val="0"/>
                <w:color w:val="000000"/>
                <w:sz w:val="20"/>
                <w:szCs w:val="20"/>
                <w:u w:val="none"/>
              </w:rPr>
            </w:pP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528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3809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竣工验收合格率</w:t>
            </w:r>
          </w:p>
        </w:tc>
        <w:tc>
          <w:tcPr>
            <w:tcW w:w="16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501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9FF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r>
              <w:rPr>
                <w:rFonts w:hint="eastAsia" w:ascii="宋体" w:hAnsi="宋体" w:cs="宋体"/>
                <w:i w:val="0"/>
                <w:iCs w:val="0"/>
                <w:color w:val="000000"/>
                <w:kern w:val="0"/>
                <w:sz w:val="20"/>
                <w:szCs w:val="20"/>
                <w:u w:val="none"/>
                <w:lang w:val="en-US" w:eastAsia="zh-CN" w:bidi="ar"/>
              </w:rPr>
              <w:t>100</w:t>
            </w:r>
            <w:r>
              <w:rPr>
                <w:rFonts w:hint="eastAsia" w:ascii="宋体" w:hAnsi="宋体" w:eastAsia="宋体" w:cs="宋体"/>
                <w:i w:val="0"/>
                <w:iCs w:val="0"/>
                <w:color w:val="000000"/>
                <w:kern w:val="0"/>
                <w:sz w:val="20"/>
                <w:szCs w:val="20"/>
                <w:u w:val="none"/>
                <w:lang w:val="en-US" w:eastAsia="zh-CN" w:bidi="ar"/>
              </w:rPr>
              <w:t>%</w:t>
            </w:r>
          </w:p>
        </w:tc>
        <w:tc>
          <w:tcPr>
            <w:tcW w:w="7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713E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AF6E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32ABB5">
            <w:pPr>
              <w:jc w:val="center"/>
              <w:rPr>
                <w:rFonts w:hint="eastAsia" w:ascii="宋体" w:hAnsi="宋体" w:eastAsia="宋体" w:cs="宋体"/>
                <w:i w:val="0"/>
                <w:iCs w:val="0"/>
                <w:color w:val="000000"/>
                <w:sz w:val="20"/>
                <w:szCs w:val="20"/>
                <w:u w:val="none"/>
              </w:rPr>
            </w:pPr>
          </w:p>
        </w:tc>
      </w:tr>
      <w:tr w14:paraId="2666E6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053A47">
            <w:pPr>
              <w:jc w:val="center"/>
              <w:rPr>
                <w:rFonts w:hint="eastAsia" w:ascii="宋体" w:hAnsi="宋体" w:eastAsia="宋体" w:cs="宋体"/>
                <w:i w:val="0"/>
                <w:iCs w:val="0"/>
                <w:color w:val="000000"/>
                <w:sz w:val="20"/>
                <w:szCs w:val="20"/>
                <w:u w:val="none"/>
              </w:rPr>
            </w:pPr>
          </w:p>
        </w:tc>
        <w:tc>
          <w:tcPr>
            <w:tcW w:w="8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A367B0">
            <w:pPr>
              <w:jc w:val="center"/>
              <w:rPr>
                <w:rFonts w:hint="eastAsia" w:ascii="宋体" w:hAnsi="宋体" w:eastAsia="宋体" w:cs="宋体"/>
                <w:i w:val="0"/>
                <w:iCs w:val="0"/>
                <w:color w:val="000000"/>
                <w:sz w:val="20"/>
                <w:szCs w:val="20"/>
                <w:u w:val="none"/>
              </w:rPr>
            </w:pPr>
          </w:p>
        </w:tc>
        <w:tc>
          <w:tcPr>
            <w:tcW w:w="16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A727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45B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项目按计划开工时间</w:t>
            </w:r>
          </w:p>
        </w:tc>
        <w:tc>
          <w:tcPr>
            <w:tcW w:w="16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20026">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=3月前</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743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=3月前</w:t>
            </w:r>
          </w:p>
        </w:tc>
        <w:tc>
          <w:tcPr>
            <w:tcW w:w="7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FD87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8330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DB9846">
            <w:pPr>
              <w:jc w:val="center"/>
              <w:rPr>
                <w:rFonts w:hint="eastAsia" w:ascii="宋体" w:hAnsi="宋体" w:eastAsia="宋体" w:cs="宋体"/>
                <w:i w:val="0"/>
                <w:iCs w:val="0"/>
                <w:color w:val="000000"/>
                <w:sz w:val="20"/>
                <w:szCs w:val="20"/>
                <w:u w:val="none"/>
              </w:rPr>
            </w:pPr>
          </w:p>
        </w:tc>
      </w:tr>
      <w:tr w14:paraId="6513B4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BC0A00">
            <w:pPr>
              <w:jc w:val="center"/>
              <w:rPr>
                <w:rFonts w:hint="eastAsia" w:ascii="宋体" w:hAnsi="宋体" w:eastAsia="宋体" w:cs="宋体"/>
                <w:i w:val="0"/>
                <w:iCs w:val="0"/>
                <w:color w:val="000000"/>
                <w:sz w:val="20"/>
                <w:szCs w:val="20"/>
                <w:u w:val="none"/>
              </w:rPr>
            </w:pPr>
          </w:p>
        </w:tc>
        <w:tc>
          <w:tcPr>
            <w:tcW w:w="8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876681">
            <w:pPr>
              <w:jc w:val="center"/>
              <w:rPr>
                <w:rFonts w:hint="eastAsia" w:ascii="宋体" w:hAnsi="宋体" w:eastAsia="宋体" w:cs="宋体"/>
                <w:i w:val="0"/>
                <w:iCs w:val="0"/>
                <w:color w:val="000000"/>
                <w:sz w:val="20"/>
                <w:szCs w:val="20"/>
                <w:u w:val="none"/>
              </w:rPr>
            </w:pPr>
          </w:p>
        </w:tc>
        <w:tc>
          <w:tcPr>
            <w:tcW w:w="16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A5BE0C">
            <w:pPr>
              <w:jc w:val="center"/>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57EA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项目按计划完工时间</w:t>
            </w:r>
          </w:p>
        </w:tc>
        <w:tc>
          <w:tcPr>
            <w:tcW w:w="16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7E3C2">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=11月前</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F55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=11月前</w:t>
            </w:r>
          </w:p>
        </w:tc>
        <w:tc>
          <w:tcPr>
            <w:tcW w:w="7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7412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B7EB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F430DF">
            <w:pPr>
              <w:jc w:val="center"/>
              <w:rPr>
                <w:rFonts w:hint="eastAsia" w:ascii="宋体" w:hAnsi="宋体" w:eastAsia="宋体" w:cs="宋体"/>
                <w:i w:val="0"/>
                <w:iCs w:val="0"/>
                <w:color w:val="000000"/>
                <w:sz w:val="20"/>
                <w:szCs w:val="20"/>
                <w:u w:val="none"/>
              </w:rPr>
            </w:pPr>
          </w:p>
        </w:tc>
      </w:tr>
      <w:tr w14:paraId="47A558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276220">
            <w:pPr>
              <w:jc w:val="center"/>
              <w:rPr>
                <w:rFonts w:hint="eastAsia" w:ascii="宋体" w:hAnsi="宋体" w:eastAsia="宋体" w:cs="宋体"/>
                <w:i w:val="0"/>
                <w:iCs w:val="0"/>
                <w:color w:val="000000"/>
                <w:sz w:val="20"/>
                <w:szCs w:val="20"/>
                <w:u w:val="none"/>
              </w:rPr>
            </w:pP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C04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955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098F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修缮产生费用</w:t>
            </w:r>
          </w:p>
        </w:tc>
        <w:tc>
          <w:tcPr>
            <w:tcW w:w="16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728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&lt;=5万元</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AF5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=5万元</w:t>
            </w:r>
          </w:p>
        </w:tc>
        <w:tc>
          <w:tcPr>
            <w:tcW w:w="7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0E6F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8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6CBB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D9B134">
            <w:pPr>
              <w:jc w:val="center"/>
              <w:rPr>
                <w:rFonts w:hint="eastAsia" w:ascii="宋体" w:hAnsi="宋体" w:eastAsia="宋体" w:cs="宋体"/>
                <w:i w:val="0"/>
                <w:iCs w:val="0"/>
                <w:color w:val="000000"/>
                <w:sz w:val="20"/>
                <w:szCs w:val="20"/>
                <w:u w:val="none"/>
              </w:rPr>
            </w:pPr>
          </w:p>
        </w:tc>
      </w:tr>
      <w:tr w14:paraId="1EB06F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AF02AC">
            <w:pPr>
              <w:jc w:val="center"/>
              <w:rPr>
                <w:rFonts w:hint="eastAsia" w:ascii="宋体" w:hAnsi="宋体" w:eastAsia="宋体" w:cs="宋体"/>
                <w:i w:val="0"/>
                <w:iCs w:val="0"/>
                <w:color w:val="000000"/>
                <w:sz w:val="20"/>
                <w:szCs w:val="20"/>
                <w:u w:val="none"/>
              </w:rPr>
            </w:pP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9AD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791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8E5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改善学员培训环境</w:t>
            </w:r>
          </w:p>
        </w:tc>
        <w:tc>
          <w:tcPr>
            <w:tcW w:w="16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704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有效改善</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1A5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完全达到预期</w:t>
            </w:r>
          </w:p>
        </w:tc>
        <w:tc>
          <w:tcPr>
            <w:tcW w:w="7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890B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8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9FDE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166640">
            <w:pPr>
              <w:jc w:val="center"/>
              <w:rPr>
                <w:rFonts w:hint="eastAsia" w:ascii="宋体" w:hAnsi="宋体" w:eastAsia="宋体" w:cs="宋体"/>
                <w:i w:val="0"/>
                <w:iCs w:val="0"/>
                <w:color w:val="000000"/>
                <w:sz w:val="20"/>
                <w:szCs w:val="20"/>
                <w:u w:val="none"/>
              </w:rPr>
            </w:pPr>
          </w:p>
        </w:tc>
      </w:tr>
      <w:tr w14:paraId="7D6F0B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A2AE11">
            <w:pPr>
              <w:jc w:val="center"/>
              <w:rPr>
                <w:rFonts w:hint="eastAsia" w:ascii="宋体" w:hAnsi="宋体" w:eastAsia="宋体" w:cs="宋体"/>
                <w:i w:val="0"/>
                <w:iCs w:val="0"/>
                <w:color w:val="000000"/>
                <w:sz w:val="20"/>
                <w:szCs w:val="20"/>
                <w:u w:val="none"/>
              </w:rPr>
            </w:pP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7CB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1FA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5377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培训学员满意率</w:t>
            </w:r>
          </w:p>
        </w:tc>
        <w:tc>
          <w:tcPr>
            <w:tcW w:w="16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089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4AF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7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BC55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4FB1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AD25A6">
            <w:pPr>
              <w:jc w:val="center"/>
              <w:rPr>
                <w:rFonts w:hint="eastAsia" w:ascii="宋体" w:hAnsi="宋体" w:eastAsia="宋体" w:cs="宋体"/>
                <w:i w:val="0"/>
                <w:iCs w:val="0"/>
                <w:color w:val="000000"/>
                <w:sz w:val="20"/>
                <w:szCs w:val="20"/>
                <w:u w:val="none"/>
              </w:rPr>
            </w:pPr>
          </w:p>
        </w:tc>
      </w:tr>
      <w:tr w14:paraId="44A35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917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F33C6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7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3C97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6A1F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100.00分</w:t>
            </w:r>
          </w:p>
        </w:tc>
        <w:tc>
          <w:tcPr>
            <w:tcW w:w="1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21F49A">
            <w:pPr>
              <w:jc w:val="center"/>
              <w:rPr>
                <w:rFonts w:hint="eastAsia" w:ascii="宋体" w:hAnsi="宋体" w:eastAsia="宋体" w:cs="宋体"/>
                <w:i w:val="0"/>
                <w:iCs w:val="0"/>
                <w:color w:val="000000"/>
                <w:sz w:val="20"/>
                <w:szCs w:val="20"/>
                <w:u w:val="none"/>
              </w:rPr>
            </w:pPr>
          </w:p>
        </w:tc>
      </w:tr>
    </w:tbl>
    <w:p w14:paraId="22593E3A">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6E9D485D">
        <w:pPr>
          <w:pStyle w:val="7"/>
          <w:jc w:val="center"/>
        </w:pPr>
        <w:r>
          <w:fldChar w:fldCharType="begin"/>
        </w:r>
        <w:r>
          <w:instrText xml:space="preserve">PAGE   \* MERGEFORMAT</w:instrText>
        </w:r>
        <w:r>
          <w:fldChar w:fldCharType="separate"/>
        </w:r>
        <w:r>
          <w:rPr>
            <w:lang w:val="zh-CN"/>
          </w:rPr>
          <w:t>13</w:t>
        </w:r>
        <w:r>
          <w:fldChar w:fldCharType="end"/>
        </w:r>
      </w:p>
    </w:sdtContent>
  </w:sdt>
  <w:p w14:paraId="049FE444">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9379A8"/>
    <w:multiLevelType w:val="singleLevel"/>
    <w:tmpl w:val="FF9379A8"/>
    <w:lvl w:ilvl="0" w:tentative="0">
      <w:start w:val="2"/>
      <w:numFmt w:val="chineseCounting"/>
      <w:suff w:val="nothing"/>
      <w:lvlText w:val="（%1）"/>
      <w:lvlJc w:val="left"/>
      <w:rPr>
        <w:rFonts w:hint="eastAsia"/>
      </w:rPr>
    </w:lvl>
  </w:abstractNum>
  <w:abstractNum w:abstractNumId="1">
    <w:nsid w:val="116B29BF"/>
    <w:multiLevelType w:val="singleLevel"/>
    <w:tmpl w:val="116B29BF"/>
    <w:lvl w:ilvl="0" w:tentative="0">
      <w:start w:val="3"/>
      <w:numFmt w:val="chineseCounting"/>
      <w:suff w:val="nothing"/>
      <w:lvlText w:val="%1、"/>
      <w:lvlJc w:val="left"/>
      <w:rPr>
        <w:rFonts w:hint="eastAsia"/>
      </w:rPr>
    </w:lvl>
  </w:abstractNum>
  <w:abstractNum w:abstractNumId="2">
    <w:nsid w:val="27813159"/>
    <w:multiLevelType w:val="singleLevel"/>
    <w:tmpl w:val="27813159"/>
    <w:lvl w:ilvl="0" w:tentative="0">
      <w:start w:val="3"/>
      <w:numFmt w:val="chineseCounting"/>
      <w:suff w:val="nothing"/>
      <w:lvlText w:val="（%1）"/>
      <w:lvlJc w:val="left"/>
      <w:rPr>
        <w:rFonts w:hint="eastAsia"/>
      </w:rPr>
    </w:lvl>
  </w:abstractNum>
  <w:abstractNum w:abstractNumId="3">
    <w:nsid w:val="50C6E873"/>
    <w:multiLevelType w:val="singleLevel"/>
    <w:tmpl w:val="50C6E873"/>
    <w:lvl w:ilvl="0" w:tentative="0">
      <w:start w:val="2"/>
      <w:numFmt w:val="decimal"/>
      <w:suff w:val="nothing"/>
      <w:lvlText w:val="（%1）"/>
      <w:lvlJc w:val="left"/>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6F7242"/>
    <w:rsid w:val="007B168A"/>
    <w:rsid w:val="008B2CFE"/>
    <w:rsid w:val="00F26FF6"/>
    <w:rsid w:val="01610122"/>
    <w:rsid w:val="02510197"/>
    <w:rsid w:val="03195159"/>
    <w:rsid w:val="03EC461B"/>
    <w:rsid w:val="07397B77"/>
    <w:rsid w:val="097820B5"/>
    <w:rsid w:val="0AD007F3"/>
    <w:rsid w:val="0E3C619F"/>
    <w:rsid w:val="0F6273CA"/>
    <w:rsid w:val="0FA84DE1"/>
    <w:rsid w:val="100F38EC"/>
    <w:rsid w:val="106E79EF"/>
    <w:rsid w:val="11170296"/>
    <w:rsid w:val="11882AD8"/>
    <w:rsid w:val="12C66037"/>
    <w:rsid w:val="12CD1ABC"/>
    <w:rsid w:val="13471461"/>
    <w:rsid w:val="13B90F01"/>
    <w:rsid w:val="143A0A8B"/>
    <w:rsid w:val="155E4C4D"/>
    <w:rsid w:val="181066D2"/>
    <w:rsid w:val="1C671E73"/>
    <w:rsid w:val="1D322C47"/>
    <w:rsid w:val="1F247119"/>
    <w:rsid w:val="23616034"/>
    <w:rsid w:val="23696C97"/>
    <w:rsid w:val="24480FA2"/>
    <w:rsid w:val="25090D4F"/>
    <w:rsid w:val="25227A45"/>
    <w:rsid w:val="26AC3A6A"/>
    <w:rsid w:val="286640ED"/>
    <w:rsid w:val="28DC05E5"/>
    <w:rsid w:val="29AB414D"/>
    <w:rsid w:val="2B9D7E25"/>
    <w:rsid w:val="2C7C7A3B"/>
    <w:rsid w:val="2EC41B6D"/>
    <w:rsid w:val="2F364819"/>
    <w:rsid w:val="2FD63906"/>
    <w:rsid w:val="31606C43"/>
    <w:rsid w:val="32FE4E9B"/>
    <w:rsid w:val="369A12F2"/>
    <w:rsid w:val="37215DAE"/>
    <w:rsid w:val="374E279E"/>
    <w:rsid w:val="38CA40DD"/>
    <w:rsid w:val="395F2B56"/>
    <w:rsid w:val="3B482032"/>
    <w:rsid w:val="3BBA0580"/>
    <w:rsid w:val="3BECE841"/>
    <w:rsid w:val="3CDE204C"/>
    <w:rsid w:val="3D363C36"/>
    <w:rsid w:val="3E9C3F6D"/>
    <w:rsid w:val="3FF7797D"/>
    <w:rsid w:val="46690BD8"/>
    <w:rsid w:val="48E5181B"/>
    <w:rsid w:val="49F70BF1"/>
    <w:rsid w:val="4B4340EE"/>
    <w:rsid w:val="503D507A"/>
    <w:rsid w:val="51FA74D0"/>
    <w:rsid w:val="52AA4A52"/>
    <w:rsid w:val="539D3AD1"/>
    <w:rsid w:val="53C41B44"/>
    <w:rsid w:val="54FE329E"/>
    <w:rsid w:val="564711B4"/>
    <w:rsid w:val="59943D66"/>
    <w:rsid w:val="59E051FD"/>
    <w:rsid w:val="59E6355E"/>
    <w:rsid w:val="5B821531"/>
    <w:rsid w:val="5BFF6039"/>
    <w:rsid w:val="5D76A616"/>
    <w:rsid w:val="5D7F20B9"/>
    <w:rsid w:val="5DAC7D0E"/>
    <w:rsid w:val="5F98B5AF"/>
    <w:rsid w:val="5FFE8511"/>
    <w:rsid w:val="5FFEACE2"/>
    <w:rsid w:val="609D5BF6"/>
    <w:rsid w:val="60F06611"/>
    <w:rsid w:val="61073070"/>
    <w:rsid w:val="61B9080E"/>
    <w:rsid w:val="61DF3FED"/>
    <w:rsid w:val="62606CE8"/>
    <w:rsid w:val="642B176B"/>
    <w:rsid w:val="643EE26D"/>
    <w:rsid w:val="64B73408"/>
    <w:rsid w:val="656019A0"/>
    <w:rsid w:val="65F242EE"/>
    <w:rsid w:val="666D7E19"/>
    <w:rsid w:val="68376930"/>
    <w:rsid w:val="68F91E38"/>
    <w:rsid w:val="69AD18B4"/>
    <w:rsid w:val="6B3158B9"/>
    <w:rsid w:val="6BA02A3F"/>
    <w:rsid w:val="6C105349"/>
    <w:rsid w:val="6C1E5A53"/>
    <w:rsid w:val="6DDD2A5A"/>
    <w:rsid w:val="6F5C41AC"/>
    <w:rsid w:val="6FAF6C78"/>
    <w:rsid w:val="716167CC"/>
    <w:rsid w:val="718A7AD1"/>
    <w:rsid w:val="72A44BC2"/>
    <w:rsid w:val="7317C656"/>
    <w:rsid w:val="734ED73F"/>
    <w:rsid w:val="73C82B32"/>
    <w:rsid w:val="73F94DAE"/>
    <w:rsid w:val="74220495"/>
    <w:rsid w:val="747D1B6F"/>
    <w:rsid w:val="749E5641"/>
    <w:rsid w:val="76271066"/>
    <w:rsid w:val="77FD8BE9"/>
    <w:rsid w:val="78000AED"/>
    <w:rsid w:val="78036054"/>
    <w:rsid w:val="79A9BD3F"/>
    <w:rsid w:val="7AC5270E"/>
    <w:rsid w:val="7B1A0118"/>
    <w:rsid w:val="7B776F12"/>
    <w:rsid w:val="7BFFFDD0"/>
    <w:rsid w:val="7C336E5F"/>
    <w:rsid w:val="7C8D4919"/>
    <w:rsid w:val="7D7A5F86"/>
    <w:rsid w:val="7E4B683A"/>
    <w:rsid w:val="7E5E656D"/>
    <w:rsid w:val="7E8F2BCB"/>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3"/>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26</Pages>
  <Words>9144</Words>
  <Characters>9367</Characters>
  <Lines>58</Lines>
  <Paragraphs>16</Paragraphs>
  <TotalTime>8</TotalTime>
  <ScaleCrop>false</ScaleCrop>
  <LinksUpToDate>false</LinksUpToDate>
  <CharactersWithSpaces>9378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cp:lastModifiedBy>
  <dcterms:modified xsi:type="dcterms:W3CDTF">2025-06-26T08:17:01Z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A075C2AEC1C54D1693797747003CB0A9_13</vt:lpwstr>
  </property>
  <property fmtid="{D5CDD505-2E9C-101B-9397-08002B2CF9AE}" pid="4" name="KSOTemplateDocerSaveRecord">
    <vt:lpwstr>eyJoZGlkIjoiYjVmMWVmZmFjNTM3ZTkzNDRjYmFhYzZjYTQzM2FmMWYiLCJ1c2VySWQiOiIzNzcyNjA0NzcifQ==</vt:lpwstr>
  </property>
</Properties>
</file>